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67D77"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Using latent behavior analysis to identify key foraging areas for Adélie penguins in a declining colony in West Antarctic Peninsula</w:t>
      </w:r>
    </w:p>
    <w:p w14:paraId="00000002" w14:textId="77777777" w:rsidR="00D67D77" w:rsidRDefault="00D67D77">
      <w:pPr>
        <w:spacing w:line="360" w:lineRule="auto"/>
        <w:rPr>
          <w:rFonts w:ascii="Times New Roman" w:eastAsia="Times New Roman" w:hAnsi="Times New Roman" w:cs="Times New Roman"/>
          <w:sz w:val="20"/>
          <w:szCs w:val="20"/>
        </w:rPr>
      </w:pPr>
    </w:p>
    <w:p w14:paraId="00000003" w14:textId="77777777" w:rsidR="00D67D77" w:rsidRPr="00F74DC7" w:rsidRDefault="00000000">
      <w:pPr>
        <w:spacing w:line="360" w:lineRule="auto"/>
        <w:rPr>
          <w:rFonts w:ascii="Times New Roman" w:eastAsia="Times New Roman" w:hAnsi="Times New Roman" w:cs="Times New Roman"/>
          <w:sz w:val="20"/>
          <w:szCs w:val="20"/>
          <w:vertAlign w:val="superscript"/>
          <w:lang w:val="es-UY"/>
        </w:rPr>
      </w:pPr>
      <w:bookmarkStart w:id="0" w:name="_heading=h.gjdgxs" w:colFirst="0" w:colLast="0"/>
      <w:bookmarkEnd w:id="0"/>
      <w:r w:rsidRPr="00F74DC7">
        <w:rPr>
          <w:rFonts w:ascii="Times New Roman" w:eastAsia="Times New Roman" w:hAnsi="Times New Roman" w:cs="Times New Roman"/>
          <w:sz w:val="20"/>
          <w:szCs w:val="20"/>
          <w:lang w:val="es-UY"/>
        </w:rPr>
        <w:t xml:space="preserve">Machado-Gaye AL., Kato A., </w:t>
      </w:r>
      <w:proofErr w:type="spellStart"/>
      <w:r w:rsidRPr="00F74DC7">
        <w:rPr>
          <w:rFonts w:ascii="Times New Roman" w:eastAsia="Times New Roman" w:hAnsi="Times New Roman" w:cs="Times New Roman"/>
          <w:sz w:val="20"/>
          <w:szCs w:val="20"/>
          <w:lang w:val="es-UY"/>
        </w:rPr>
        <w:t>Chimienti</w:t>
      </w:r>
      <w:proofErr w:type="spellEnd"/>
      <w:r w:rsidRPr="00F74DC7">
        <w:rPr>
          <w:rFonts w:ascii="Times New Roman" w:eastAsia="Times New Roman" w:hAnsi="Times New Roman" w:cs="Times New Roman"/>
          <w:sz w:val="20"/>
          <w:szCs w:val="20"/>
          <w:lang w:val="es-UY"/>
        </w:rPr>
        <w:t xml:space="preserve"> M., </w:t>
      </w:r>
      <w:proofErr w:type="spellStart"/>
      <w:r w:rsidRPr="00F74DC7">
        <w:rPr>
          <w:rFonts w:ascii="Times New Roman" w:eastAsia="Times New Roman" w:hAnsi="Times New Roman" w:cs="Times New Roman"/>
          <w:sz w:val="20"/>
          <w:szCs w:val="20"/>
          <w:lang w:val="es-UY"/>
        </w:rPr>
        <w:t>Gobel</w:t>
      </w:r>
      <w:proofErr w:type="spellEnd"/>
      <w:r w:rsidRPr="00F74DC7">
        <w:rPr>
          <w:rFonts w:ascii="Times New Roman" w:eastAsia="Times New Roman" w:hAnsi="Times New Roman" w:cs="Times New Roman"/>
          <w:sz w:val="20"/>
          <w:szCs w:val="20"/>
          <w:lang w:val="es-UY"/>
        </w:rPr>
        <w:t xml:space="preserve"> N., </w:t>
      </w:r>
      <w:proofErr w:type="spellStart"/>
      <w:r w:rsidRPr="00F74DC7">
        <w:rPr>
          <w:rFonts w:ascii="Times New Roman" w:eastAsia="Times New Roman" w:hAnsi="Times New Roman" w:cs="Times New Roman"/>
          <w:sz w:val="20"/>
          <w:szCs w:val="20"/>
          <w:lang w:val="es-UY"/>
        </w:rPr>
        <w:t>Ropert-Coudert</w:t>
      </w:r>
      <w:proofErr w:type="spellEnd"/>
      <w:r w:rsidRPr="00F74DC7">
        <w:rPr>
          <w:rFonts w:ascii="Times New Roman" w:eastAsia="Times New Roman" w:hAnsi="Times New Roman" w:cs="Times New Roman"/>
          <w:sz w:val="20"/>
          <w:szCs w:val="20"/>
          <w:lang w:val="es-UY"/>
        </w:rPr>
        <w:t xml:space="preserve"> Y., Barbosa A., Soutullo A.</w:t>
      </w:r>
    </w:p>
    <w:p w14:paraId="00000004" w14:textId="77777777" w:rsidR="00D67D77" w:rsidRPr="00F74DC7" w:rsidRDefault="00D67D77">
      <w:pPr>
        <w:spacing w:line="360" w:lineRule="auto"/>
        <w:rPr>
          <w:rFonts w:ascii="Times New Roman" w:eastAsia="Times New Roman" w:hAnsi="Times New Roman" w:cs="Times New Roman"/>
          <w:sz w:val="20"/>
          <w:szCs w:val="20"/>
          <w:lang w:val="es-UY"/>
        </w:rPr>
      </w:pPr>
    </w:p>
    <w:p w14:paraId="00000005" w14:textId="77777777" w:rsidR="00D67D77" w:rsidRPr="00D66CE1" w:rsidRDefault="00000000">
      <w:pPr>
        <w:spacing w:line="360" w:lineRule="auto"/>
        <w:rPr>
          <w:rFonts w:ascii="Times New Roman" w:eastAsia="Times New Roman" w:hAnsi="Times New Roman" w:cs="Times New Roman"/>
          <w:color w:val="0000FF"/>
          <w:sz w:val="20"/>
          <w:szCs w:val="20"/>
          <w:u w:val="single"/>
          <w:lang w:val="es-UY"/>
        </w:rPr>
      </w:pPr>
      <w:bookmarkStart w:id="1" w:name="_heading=h.30j0zll" w:colFirst="0" w:colLast="0"/>
      <w:bookmarkEnd w:id="1"/>
      <w:r w:rsidRPr="00C634C2">
        <w:rPr>
          <w:rFonts w:ascii="Times New Roman" w:eastAsia="Times New Roman" w:hAnsi="Times New Roman" w:cs="Times New Roman"/>
          <w:sz w:val="20"/>
          <w:szCs w:val="20"/>
          <w:lang w:val="es-UY"/>
        </w:rPr>
        <w:t>Machado-Gaye AL.</w:t>
      </w:r>
      <w:r w:rsidRPr="00C634C2">
        <w:rPr>
          <w:rFonts w:ascii="Times New Roman" w:eastAsia="Times New Roman" w:hAnsi="Times New Roman" w:cs="Times New Roman"/>
          <w:sz w:val="20"/>
          <w:szCs w:val="20"/>
          <w:vertAlign w:val="superscript"/>
          <w:lang w:val="es-UY"/>
        </w:rPr>
        <w:t xml:space="preserve"> </w:t>
      </w:r>
      <w:r w:rsidRPr="00C634C2">
        <w:rPr>
          <w:rFonts w:ascii="Times New Roman" w:eastAsia="Times New Roman" w:hAnsi="Times New Roman" w:cs="Times New Roman"/>
          <w:sz w:val="20"/>
          <w:szCs w:val="20"/>
          <w:lang w:val="es-UY"/>
        </w:rPr>
        <w:t>Centro Universitario Regional del Este, Universidad de la República, Maldonado, Uruguay. (</w:t>
      </w:r>
      <w:hyperlink r:id="rId8">
        <w:r w:rsidRPr="00D66CE1">
          <w:rPr>
            <w:rFonts w:ascii="Times New Roman" w:eastAsia="Times New Roman" w:hAnsi="Times New Roman" w:cs="Times New Roman"/>
            <w:color w:val="0000FF"/>
            <w:sz w:val="20"/>
            <w:szCs w:val="20"/>
            <w:u w:val="single"/>
            <w:lang w:val="es-UY"/>
          </w:rPr>
          <w:t>https://orcid.org/0000-0002-1019-5062</w:t>
        </w:r>
      </w:hyperlink>
      <w:r w:rsidRPr="00D66CE1">
        <w:rPr>
          <w:rFonts w:ascii="Times New Roman" w:eastAsia="Times New Roman" w:hAnsi="Times New Roman" w:cs="Times New Roman"/>
          <w:sz w:val="20"/>
          <w:szCs w:val="20"/>
          <w:lang w:val="es-UY"/>
        </w:rPr>
        <w:t xml:space="preserve">) </w:t>
      </w:r>
      <w:proofErr w:type="spellStart"/>
      <w:r w:rsidRPr="00D66CE1">
        <w:rPr>
          <w:rFonts w:ascii="Times New Roman" w:eastAsia="Times New Roman" w:hAnsi="Times New Roman" w:cs="Times New Roman"/>
          <w:sz w:val="20"/>
          <w:szCs w:val="20"/>
          <w:lang w:val="es-UY"/>
        </w:rPr>
        <w:t>Corresponding</w:t>
      </w:r>
      <w:proofErr w:type="spellEnd"/>
      <w:r w:rsidRPr="00D66CE1">
        <w:rPr>
          <w:rFonts w:ascii="Times New Roman" w:eastAsia="Times New Roman" w:hAnsi="Times New Roman" w:cs="Times New Roman"/>
          <w:sz w:val="20"/>
          <w:szCs w:val="20"/>
          <w:lang w:val="es-UY"/>
        </w:rPr>
        <w:t xml:space="preserve"> </w:t>
      </w:r>
      <w:proofErr w:type="spellStart"/>
      <w:r w:rsidRPr="00D66CE1">
        <w:rPr>
          <w:rFonts w:ascii="Times New Roman" w:eastAsia="Times New Roman" w:hAnsi="Times New Roman" w:cs="Times New Roman"/>
          <w:sz w:val="20"/>
          <w:szCs w:val="20"/>
          <w:lang w:val="es-UY"/>
        </w:rPr>
        <w:t>author</w:t>
      </w:r>
      <w:proofErr w:type="spellEnd"/>
      <w:r w:rsidRPr="00D66CE1">
        <w:rPr>
          <w:rFonts w:ascii="Times New Roman" w:eastAsia="Times New Roman" w:hAnsi="Times New Roman" w:cs="Times New Roman"/>
          <w:sz w:val="20"/>
          <w:szCs w:val="20"/>
          <w:lang w:val="es-UY"/>
        </w:rPr>
        <w:t xml:space="preserve"> email: almachado90@gmail.com</w:t>
      </w:r>
    </w:p>
    <w:p w14:paraId="00000006" w14:textId="77777777" w:rsidR="00D67D77" w:rsidRPr="00D66CE1" w:rsidRDefault="00D67D77">
      <w:pPr>
        <w:spacing w:line="360" w:lineRule="auto"/>
        <w:rPr>
          <w:rFonts w:ascii="Times New Roman" w:eastAsia="Times New Roman" w:hAnsi="Times New Roman" w:cs="Times New Roman"/>
          <w:color w:val="0000FF"/>
          <w:sz w:val="20"/>
          <w:szCs w:val="20"/>
          <w:u w:val="single"/>
          <w:lang w:val="es-UY"/>
        </w:rPr>
      </w:pPr>
    </w:p>
    <w:p w14:paraId="00000007" w14:textId="77777777" w:rsidR="00D67D77" w:rsidRPr="00F74DC7" w:rsidRDefault="00000000">
      <w:pPr>
        <w:spacing w:line="360" w:lineRule="auto"/>
        <w:rPr>
          <w:rFonts w:ascii="Times New Roman" w:eastAsia="Times New Roman" w:hAnsi="Times New Roman" w:cs="Times New Roman"/>
          <w:sz w:val="20"/>
          <w:szCs w:val="20"/>
          <w:lang w:val="es-UY"/>
        </w:rPr>
      </w:pPr>
      <w:r w:rsidRPr="00D66CE1">
        <w:rPr>
          <w:rFonts w:ascii="Times New Roman" w:eastAsia="Times New Roman" w:hAnsi="Times New Roman" w:cs="Times New Roman"/>
          <w:sz w:val="20"/>
          <w:szCs w:val="20"/>
          <w:lang w:val="es-UY"/>
        </w:rPr>
        <w:t xml:space="preserve">Kato A. Centre </w:t>
      </w:r>
      <w:proofErr w:type="spellStart"/>
      <w:r w:rsidRPr="00D66CE1">
        <w:rPr>
          <w:rFonts w:ascii="Times New Roman" w:eastAsia="Times New Roman" w:hAnsi="Times New Roman" w:cs="Times New Roman"/>
          <w:sz w:val="20"/>
          <w:szCs w:val="20"/>
          <w:lang w:val="es-UY"/>
        </w:rPr>
        <w:t>d’Etudes</w:t>
      </w:r>
      <w:proofErr w:type="spellEnd"/>
      <w:r w:rsidRPr="00D66CE1">
        <w:rPr>
          <w:rFonts w:ascii="Times New Roman" w:eastAsia="Times New Roman" w:hAnsi="Times New Roman" w:cs="Times New Roman"/>
          <w:sz w:val="20"/>
          <w:szCs w:val="20"/>
          <w:lang w:val="es-UY"/>
        </w:rPr>
        <w:t xml:space="preserve"> </w:t>
      </w:r>
      <w:proofErr w:type="spellStart"/>
      <w:r w:rsidRPr="00D66CE1">
        <w:rPr>
          <w:rFonts w:ascii="Times New Roman" w:eastAsia="Times New Roman" w:hAnsi="Times New Roman" w:cs="Times New Roman"/>
          <w:sz w:val="20"/>
          <w:szCs w:val="20"/>
          <w:lang w:val="es-UY"/>
        </w:rPr>
        <w:t>Biologiques</w:t>
      </w:r>
      <w:proofErr w:type="spellEnd"/>
      <w:r w:rsidRPr="00D66CE1">
        <w:rPr>
          <w:rFonts w:ascii="Times New Roman" w:eastAsia="Times New Roman" w:hAnsi="Times New Roman" w:cs="Times New Roman"/>
          <w:sz w:val="20"/>
          <w:szCs w:val="20"/>
          <w:lang w:val="es-UY"/>
        </w:rPr>
        <w:t xml:space="preserve"> de </w:t>
      </w:r>
      <w:proofErr w:type="spellStart"/>
      <w:r w:rsidRPr="00D66CE1">
        <w:rPr>
          <w:rFonts w:ascii="Times New Roman" w:eastAsia="Times New Roman" w:hAnsi="Times New Roman" w:cs="Times New Roman"/>
          <w:sz w:val="20"/>
          <w:szCs w:val="20"/>
          <w:lang w:val="es-UY"/>
        </w:rPr>
        <w:t>Chizé</w:t>
      </w:r>
      <w:proofErr w:type="spellEnd"/>
      <w:r w:rsidRPr="00D66CE1">
        <w:rPr>
          <w:rFonts w:ascii="Times New Roman" w:eastAsia="Times New Roman" w:hAnsi="Times New Roman" w:cs="Times New Roman"/>
          <w:sz w:val="20"/>
          <w:szCs w:val="20"/>
          <w:lang w:val="es-UY"/>
        </w:rPr>
        <w:t xml:space="preserve">, UMR7372 CNRS-La Rochelle </w:t>
      </w:r>
      <w:proofErr w:type="spellStart"/>
      <w:r w:rsidRPr="00D66CE1">
        <w:rPr>
          <w:rFonts w:ascii="Times New Roman" w:eastAsia="Times New Roman" w:hAnsi="Times New Roman" w:cs="Times New Roman"/>
          <w:sz w:val="20"/>
          <w:szCs w:val="20"/>
          <w:lang w:val="es-UY"/>
        </w:rPr>
        <w:t>Université</w:t>
      </w:r>
      <w:proofErr w:type="spellEnd"/>
      <w:r w:rsidRPr="00D66CE1">
        <w:rPr>
          <w:rFonts w:ascii="Times New Roman" w:eastAsia="Times New Roman" w:hAnsi="Times New Roman" w:cs="Times New Roman"/>
          <w:sz w:val="20"/>
          <w:szCs w:val="20"/>
          <w:lang w:val="es-UY"/>
        </w:rPr>
        <w:t xml:space="preserve">, France. </w:t>
      </w:r>
      <w:r w:rsidRPr="00F74DC7">
        <w:rPr>
          <w:rFonts w:ascii="Times New Roman" w:eastAsia="Times New Roman" w:hAnsi="Times New Roman" w:cs="Times New Roman"/>
          <w:sz w:val="20"/>
          <w:szCs w:val="20"/>
          <w:lang w:val="es-UY"/>
        </w:rPr>
        <w:t>(</w:t>
      </w:r>
      <w:hyperlink r:id="rId9">
        <w:r w:rsidRPr="00F74DC7">
          <w:rPr>
            <w:rFonts w:ascii="Times New Roman" w:eastAsia="Times New Roman" w:hAnsi="Times New Roman" w:cs="Times New Roman"/>
            <w:color w:val="0000FF"/>
            <w:sz w:val="20"/>
            <w:szCs w:val="20"/>
            <w:u w:val="single"/>
            <w:lang w:val="es-UY"/>
          </w:rPr>
          <w:t>https://orcid.org/0000-0002-8947-3634</w:t>
        </w:r>
      </w:hyperlink>
      <w:r w:rsidRPr="00F74DC7">
        <w:rPr>
          <w:rFonts w:ascii="Times New Roman" w:eastAsia="Times New Roman" w:hAnsi="Times New Roman" w:cs="Times New Roman"/>
          <w:sz w:val="20"/>
          <w:szCs w:val="20"/>
          <w:lang w:val="es-UY"/>
        </w:rPr>
        <w:t>)</w:t>
      </w:r>
    </w:p>
    <w:p w14:paraId="00000008" w14:textId="77777777" w:rsidR="00D67D77" w:rsidRPr="00F74DC7" w:rsidRDefault="00D67D77">
      <w:pPr>
        <w:spacing w:line="360" w:lineRule="auto"/>
        <w:rPr>
          <w:rFonts w:ascii="Times New Roman" w:eastAsia="Times New Roman" w:hAnsi="Times New Roman" w:cs="Times New Roman"/>
          <w:sz w:val="20"/>
          <w:szCs w:val="20"/>
          <w:lang w:val="es-UY"/>
        </w:rPr>
      </w:pPr>
    </w:p>
    <w:p w14:paraId="00000009" w14:textId="77777777" w:rsidR="00D67D77" w:rsidRPr="00F74DC7" w:rsidRDefault="00000000">
      <w:pPr>
        <w:spacing w:line="360" w:lineRule="auto"/>
        <w:rPr>
          <w:rFonts w:ascii="Times New Roman" w:eastAsia="Times New Roman" w:hAnsi="Times New Roman" w:cs="Times New Roman"/>
          <w:sz w:val="20"/>
          <w:szCs w:val="20"/>
          <w:lang w:val="es-UY"/>
        </w:rPr>
      </w:pPr>
      <w:proofErr w:type="spellStart"/>
      <w:r w:rsidRPr="00F74DC7">
        <w:rPr>
          <w:rFonts w:ascii="Times New Roman" w:eastAsia="Times New Roman" w:hAnsi="Times New Roman" w:cs="Times New Roman"/>
          <w:sz w:val="20"/>
          <w:szCs w:val="20"/>
          <w:lang w:val="es-UY"/>
        </w:rPr>
        <w:t>Chimienti</w:t>
      </w:r>
      <w:proofErr w:type="spellEnd"/>
      <w:r w:rsidRPr="00F74DC7">
        <w:rPr>
          <w:rFonts w:ascii="Times New Roman" w:eastAsia="Times New Roman" w:hAnsi="Times New Roman" w:cs="Times New Roman"/>
          <w:sz w:val="20"/>
          <w:szCs w:val="20"/>
          <w:lang w:val="es-UY"/>
        </w:rPr>
        <w:t xml:space="preserve"> M. Centre </w:t>
      </w:r>
      <w:proofErr w:type="spellStart"/>
      <w:r w:rsidRPr="00F74DC7">
        <w:rPr>
          <w:rFonts w:ascii="Times New Roman" w:eastAsia="Times New Roman" w:hAnsi="Times New Roman" w:cs="Times New Roman"/>
          <w:sz w:val="20"/>
          <w:szCs w:val="20"/>
          <w:lang w:val="es-UY"/>
        </w:rPr>
        <w:t>d’Etudes</w:t>
      </w:r>
      <w:proofErr w:type="spellEnd"/>
      <w:r w:rsidRPr="00F74DC7">
        <w:rPr>
          <w:rFonts w:ascii="Times New Roman" w:eastAsia="Times New Roman" w:hAnsi="Times New Roman" w:cs="Times New Roman"/>
          <w:sz w:val="20"/>
          <w:szCs w:val="20"/>
          <w:lang w:val="es-UY"/>
        </w:rPr>
        <w:t xml:space="preserve"> </w:t>
      </w:r>
      <w:proofErr w:type="spellStart"/>
      <w:r w:rsidRPr="00F74DC7">
        <w:rPr>
          <w:rFonts w:ascii="Times New Roman" w:eastAsia="Times New Roman" w:hAnsi="Times New Roman" w:cs="Times New Roman"/>
          <w:sz w:val="20"/>
          <w:szCs w:val="20"/>
          <w:lang w:val="es-UY"/>
        </w:rPr>
        <w:t>Biologiques</w:t>
      </w:r>
      <w:proofErr w:type="spellEnd"/>
      <w:r w:rsidRPr="00F74DC7">
        <w:rPr>
          <w:rFonts w:ascii="Times New Roman" w:eastAsia="Times New Roman" w:hAnsi="Times New Roman" w:cs="Times New Roman"/>
          <w:sz w:val="20"/>
          <w:szCs w:val="20"/>
          <w:lang w:val="es-UY"/>
        </w:rPr>
        <w:t xml:space="preserve"> de </w:t>
      </w:r>
      <w:proofErr w:type="spellStart"/>
      <w:r w:rsidRPr="00F74DC7">
        <w:rPr>
          <w:rFonts w:ascii="Times New Roman" w:eastAsia="Times New Roman" w:hAnsi="Times New Roman" w:cs="Times New Roman"/>
          <w:sz w:val="20"/>
          <w:szCs w:val="20"/>
          <w:lang w:val="es-UY"/>
        </w:rPr>
        <w:t>Chizé</w:t>
      </w:r>
      <w:proofErr w:type="spellEnd"/>
      <w:r w:rsidRPr="00F74DC7">
        <w:rPr>
          <w:rFonts w:ascii="Times New Roman" w:eastAsia="Times New Roman" w:hAnsi="Times New Roman" w:cs="Times New Roman"/>
          <w:sz w:val="20"/>
          <w:szCs w:val="20"/>
          <w:lang w:val="es-UY"/>
        </w:rPr>
        <w:t xml:space="preserve">, UMR7372 CNRS-La Rochelle </w:t>
      </w:r>
      <w:proofErr w:type="spellStart"/>
      <w:r w:rsidRPr="00F74DC7">
        <w:rPr>
          <w:rFonts w:ascii="Times New Roman" w:eastAsia="Times New Roman" w:hAnsi="Times New Roman" w:cs="Times New Roman"/>
          <w:sz w:val="20"/>
          <w:szCs w:val="20"/>
          <w:lang w:val="es-UY"/>
        </w:rPr>
        <w:t>Université</w:t>
      </w:r>
      <w:proofErr w:type="spellEnd"/>
      <w:r w:rsidRPr="00F74DC7">
        <w:rPr>
          <w:rFonts w:ascii="Times New Roman" w:eastAsia="Times New Roman" w:hAnsi="Times New Roman" w:cs="Times New Roman"/>
          <w:sz w:val="20"/>
          <w:szCs w:val="20"/>
          <w:lang w:val="es-UY"/>
        </w:rPr>
        <w:t>, France. (</w:t>
      </w:r>
      <w:hyperlink r:id="rId10">
        <w:r w:rsidRPr="00F74DC7">
          <w:rPr>
            <w:rFonts w:ascii="Times New Roman" w:eastAsia="Times New Roman" w:hAnsi="Times New Roman" w:cs="Times New Roman"/>
            <w:color w:val="0000FF"/>
            <w:sz w:val="20"/>
            <w:szCs w:val="20"/>
            <w:u w:val="single"/>
            <w:lang w:val="es-UY"/>
          </w:rPr>
          <w:t>https://orcid.org/0000-0002-8236-9332</w:t>
        </w:r>
      </w:hyperlink>
      <w:r w:rsidRPr="00F74DC7">
        <w:rPr>
          <w:rFonts w:ascii="Times New Roman" w:eastAsia="Times New Roman" w:hAnsi="Times New Roman" w:cs="Times New Roman"/>
          <w:sz w:val="20"/>
          <w:szCs w:val="20"/>
          <w:lang w:val="es-UY"/>
        </w:rPr>
        <w:t>)</w:t>
      </w:r>
    </w:p>
    <w:p w14:paraId="0000000A" w14:textId="77777777" w:rsidR="00D67D77" w:rsidRPr="00F74DC7" w:rsidRDefault="00D67D77">
      <w:pPr>
        <w:spacing w:line="360" w:lineRule="auto"/>
        <w:rPr>
          <w:rFonts w:ascii="Times New Roman" w:eastAsia="Times New Roman" w:hAnsi="Times New Roman" w:cs="Times New Roman"/>
          <w:sz w:val="20"/>
          <w:szCs w:val="20"/>
          <w:lang w:val="es-UY"/>
        </w:rPr>
      </w:pPr>
    </w:p>
    <w:p w14:paraId="0000000B" w14:textId="77777777" w:rsidR="00D67D77" w:rsidRPr="00F74DC7" w:rsidRDefault="00000000">
      <w:pPr>
        <w:spacing w:line="360" w:lineRule="auto"/>
        <w:rPr>
          <w:rFonts w:ascii="Times New Roman" w:eastAsia="Times New Roman" w:hAnsi="Times New Roman" w:cs="Times New Roman"/>
          <w:sz w:val="20"/>
          <w:szCs w:val="20"/>
          <w:lang w:val="es-UY"/>
        </w:rPr>
      </w:pPr>
      <w:proofErr w:type="spellStart"/>
      <w:r w:rsidRPr="00F74DC7">
        <w:rPr>
          <w:rFonts w:ascii="Times New Roman" w:eastAsia="Times New Roman" w:hAnsi="Times New Roman" w:cs="Times New Roman"/>
          <w:sz w:val="20"/>
          <w:szCs w:val="20"/>
          <w:lang w:val="es-UY"/>
        </w:rPr>
        <w:t>Gobel</w:t>
      </w:r>
      <w:proofErr w:type="spellEnd"/>
      <w:r w:rsidRPr="00F74DC7">
        <w:rPr>
          <w:rFonts w:ascii="Times New Roman" w:eastAsia="Times New Roman" w:hAnsi="Times New Roman" w:cs="Times New Roman"/>
          <w:sz w:val="20"/>
          <w:szCs w:val="20"/>
          <w:lang w:val="es-UY"/>
        </w:rPr>
        <w:t xml:space="preserve"> N. Centro Universitario Regional del Este, Universidad de la República, Maldonado, Uruguay. (</w:t>
      </w:r>
      <w:hyperlink r:id="rId11">
        <w:r w:rsidRPr="00F74DC7">
          <w:rPr>
            <w:rFonts w:ascii="Times New Roman" w:eastAsia="Times New Roman" w:hAnsi="Times New Roman" w:cs="Times New Roman"/>
            <w:color w:val="0000FF"/>
            <w:sz w:val="20"/>
            <w:szCs w:val="20"/>
            <w:u w:val="single"/>
            <w:lang w:val="es-UY"/>
          </w:rPr>
          <w:t>https://orcid.org/0000-0002-7613-1897</w:t>
        </w:r>
      </w:hyperlink>
      <w:r w:rsidRPr="00F74DC7">
        <w:rPr>
          <w:rFonts w:ascii="Times New Roman" w:eastAsia="Times New Roman" w:hAnsi="Times New Roman" w:cs="Times New Roman"/>
          <w:sz w:val="20"/>
          <w:szCs w:val="20"/>
          <w:lang w:val="es-UY"/>
        </w:rPr>
        <w:t>)</w:t>
      </w:r>
    </w:p>
    <w:p w14:paraId="0000000C" w14:textId="77777777" w:rsidR="00D67D77" w:rsidRPr="00F74DC7" w:rsidRDefault="00D67D77">
      <w:pPr>
        <w:spacing w:line="360" w:lineRule="auto"/>
        <w:rPr>
          <w:rFonts w:ascii="Times New Roman" w:eastAsia="Times New Roman" w:hAnsi="Times New Roman" w:cs="Times New Roman"/>
          <w:sz w:val="20"/>
          <w:szCs w:val="20"/>
          <w:lang w:val="es-UY"/>
        </w:rPr>
      </w:pPr>
    </w:p>
    <w:p w14:paraId="0000000D" w14:textId="77777777" w:rsidR="00D67D77" w:rsidRPr="00F74DC7" w:rsidRDefault="00000000">
      <w:pPr>
        <w:spacing w:line="360" w:lineRule="auto"/>
        <w:rPr>
          <w:rFonts w:ascii="Times New Roman" w:eastAsia="Times New Roman" w:hAnsi="Times New Roman" w:cs="Times New Roman"/>
          <w:sz w:val="20"/>
          <w:szCs w:val="20"/>
          <w:lang w:val="es-UY"/>
        </w:rPr>
      </w:pPr>
      <w:proofErr w:type="spellStart"/>
      <w:r w:rsidRPr="00F74DC7">
        <w:rPr>
          <w:rFonts w:ascii="Times New Roman" w:eastAsia="Times New Roman" w:hAnsi="Times New Roman" w:cs="Times New Roman"/>
          <w:sz w:val="20"/>
          <w:szCs w:val="20"/>
          <w:lang w:val="es-UY"/>
        </w:rPr>
        <w:t>Ropert-Coudert</w:t>
      </w:r>
      <w:proofErr w:type="spellEnd"/>
      <w:r w:rsidRPr="00F74DC7">
        <w:rPr>
          <w:rFonts w:ascii="Times New Roman" w:eastAsia="Times New Roman" w:hAnsi="Times New Roman" w:cs="Times New Roman"/>
          <w:sz w:val="20"/>
          <w:szCs w:val="20"/>
          <w:lang w:val="es-UY"/>
        </w:rPr>
        <w:t xml:space="preserve"> Y. Centre </w:t>
      </w:r>
      <w:proofErr w:type="spellStart"/>
      <w:r w:rsidRPr="00F74DC7">
        <w:rPr>
          <w:rFonts w:ascii="Times New Roman" w:eastAsia="Times New Roman" w:hAnsi="Times New Roman" w:cs="Times New Roman"/>
          <w:sz w:val="20"/>
          <w:szCs w:val="20"/>
          <w:lang w:val="es-UY"/>
        </w:rPr>
        <w:t>d’Etudes</w:t>
      </w:r>
      <w:proofErr w:type="spellEnd"/>
      <w:r w:rsidRPr="00F74DC7">
        <w:rPr>
          <w:rFonts w:ascii="Times New Roman" w:eastAsia="Times New Roman" w:hAnsi="Times New Roman" w:cs="Times New Roman"/>
          <w:sz w:val="20"/>
          <w:szCs w:val="20"/>
          <w:lang w:val="es-UY"/>
        </w:rPr>
        <w:t xml:space="preserve"> </w:t>
      </w:r>
      <w:proofErr w:type="spellStart"/>
      <w:r w:rsidRPr="00F74DC7">
        <w:rPr>
          <w:rFonts w:ascii="Times New Roman" w:eastAsia="Times New Roman" w:hAnsi="Times New Roman" w:cs="Times New Roman"/>
          <w:sz w:val="20"/>
          <w:szCs w:val="20"/>
          <w:lang w:val="es-UY"/>
        </w:rPr>
        <w:t>Biologiques</w:t>
      </w:r>
      <w:proofErr w:type="spellEnd"/>
      <w:r w:rsidRPr="00F74DC7">
        <w:rPr>
          <w:rFonts w:ascii="Times New Roman" w:eastAsia="Times New Roman" w:hAnsi="Times New Roman" w:cs="Times New Roman"/>
          <w:sz w:val="20"/>
          <w:szCs w:val="20"/>
          <w:lang w:val="es-UY"/>
        </w:rPr>
        <w:t xml:space="preserve"> de </w:t>
      </w:r>
      <w:proofErr w:type="spellStart"/>
      <w:r w:rsidRPr="00F74DC7">
        <w:rPr>
          <w:rFonts w:ascii="Times New Roman" w:eastAsia="Times New Roman" w:hAnsi="Times New Roman" w:cs="Times New Roman"/>
          <w:sz w:val="20"/>
          <w:szCs w:val="20"/>
          <w:lang w:val="es-UY"/>
        </w:rPr>
        <w:t>Chizé</w:t>
      </w:r>
      <w:proofErr w:type="spellEnd"/>
      <w:r w:rsidRPr="00F74DC7">
        <w:rPr>
          <w:rFonts w:ascii="Times New Roman" w:eastAsia="Times New Roman" w:hAnsi="Times New Roman" w:cs="Times New Roman"/>
          <w:sz w:val="20"/>
          <w:szCs w:val="20"/>
          <w:lang w:val="es-UY"/>
        </w:rPr>
        <w:t xml:space="preserve">, UMR7372 CNRS-La Rochelle </w:t>
      </w:r>
      <w:proofErr w:type="spellStart"/>
      <w:r w:rsidRPr="00F74DC7">
        <w:rPr>
          <w:rFonts w:ascii="Times New Roman" w:eastAsia="Times New Roman" w:hAnsi="Times New Roman" w:cs="Times New Roman"/>
          <w:sz w:val="20"/>
          <w:szCs w:val="20"/>
          <w:lang w:val="es-UY"/>
        </w:rPr>
        <w:t>Université</w:t>
      </w:r>
      <w:proofErr w:type="spellEnd"/>
      <w:r w:rsidRPr="00F74DC7">
        <w:rPr>
          <w:rFonts w:ascii="Times New Roman" w:eastAsia="Times New Roman" w:hAnsi="Times New Roman" w:cs="Times New Roman"/>
          <w:sz w:val="20"/>
          <w:szCs w:val="20"/>
          <w:lang w:val="es-UY"/>
        </w:rPr>
        <w:t>, France. (</w:t>
      </w:r>
      <w:hyperlink r:id="rId12">
        <w:r w:rsidRPr="00F74DC7">
          <w:rPr>
            <w:rFonts w:ascii="Times New Roman" w:eastAsia="Times New Roman" w:hAnsi="Times New Roman" w:cs="Times New Roman"/>
            <w:color w:val="0000FF"/>
            <w:sz w:val="20"/>
            <w:szCs w:val="20"/>
            <w:u w:val="single"/>
            <w:lang w:val="es-UY"/>
          </w:rPr>
          <w:t>https://orcid.org/0000-0001-6494-5300</w:t>
        </w:r>
      </w:hyperlink>
      <w:r w:rsidRPr="00F74DC7">
        <w:rPr>
          <w:rFonts w:ascii="Times New Roman" w:eastAsia="Times New Roman" w:hAnsi="Times New Roman" w:cs="Times New Roman"/>
          <w:sz w:val="20"/>
          <w:szCs w:val="20"/>
          <w:lang w:val="es-UY"/>
        </w:rPr>
        <w:t>)</w:t>
      </w:r>
    </w:p>
    <w:p w14:paraId="0000000E" w14:textId="77777777" w:rsidR="00D67D77" w:rsidRPr="00F74DC7" w:rsidRDefault="00D67D77">
      <w:pPr>
        <w:spacing w:line="360" w:lineRule="auto"/>
        <w:rPr>
          <w:rFonts w:ascii="Times New Roman" w:eastAsia="Times New Roman" w:hAnsi="Times New Roman" w:cs="Times New Roman"/>
          <w:sz w:val="20"/>
          <w:szCs w:val="20"/>
          <w:lang w:val="es-UY"/>
        </w:rPr>
      </w:pPr>
    </w:p>
    <w:p w14:paraId="0000000F" w14:textId="77777777" w:rsidR="00D67D77" w:rsidRPr="00F74DC7" w:rsidRDefault="00000000">
      <w:pPr>
        <w:spacing w:line="360" w:lineRule="auto"/>
        <w:rPr>
          <w:rFonts w:ascii="Times New Roman" w:eastAsia="Times New Roman" w:hAnsi="Times New Roman" w:cs="Times New Roman"/>
          <w:sz w:val="20"/>
          <w:szCs w:val="20"/>
          <w:lang w:val="es-UY"/>
        </w:rPr>
      </w:pPr>
      <w:r w:rsidRPr="00F74DC7">
        <w:rPr>
          <w:rFonts w:ascii="Times New Roman" w:eastAsia="Times New Roman" w:hAnsi="Times New Roman" w:cs="Times New Roman"/>
          <w:sz w:val="20"/>
          <w:szCs w:val="20"/>
          <w:lang w:val="es-UY"/>
        </w:rPr>
        <w:t xml:space="preserve">Barbosa A. Museo Nacional de Ciencias Naturales, CSIC, Madrid, </w:t>
      </w:r>
      <w:proofErr w:type="spellStart"/>
      <w:r w:rsidRPr="00F74DC7">
        <w:rPr>
          <w:rFonts w:ascii="Times New Roman" w:eastAsia="Times New Roman" w:hAnsi="Times New Roman" w:cs="Times New Roman"/>
          <w:sz w:val="20"/>
          <w:szCs w:val="20"/>
          <w:lang w:val="es-UY"/>
        </w:rPr>
        <w:t>Spain</w:t>
      </w:r>
      <w:proofErr w:type="spellEnd"/>
      <w:r w:rsidRPr="00F74DC7">
        <w:rPr>
          <w:rFonts w:ascii="Times New Roman" w:eastAsia="Times New Roman" w:hAnsi="Times New Roman" w:cs="Times New Roman"/>
          <w:sz w:val="20"/>
          <w:szCs w:val="20"/>
          <w:lang w:val="es-UY"/>
        </w:rPr>
        <w:t>. (</w:t>
      </w:r>
      <w:hyperlink r:id="rId13">
        <w:r w:rsidRPr="00F74DC7">
          <w:rPr>
            <w:rFonts w:ascii="Times New Roman" w:eastAsia="Times New Roman" w:hAnsi="Times New Roman" w:cs="Times New Roman"/>
            <w:color w:val="0000FF"/>
            <w:sz w:val="20"/>
            <w:szCs w:val="20"/>
            <w:u w:val="single"/>
            <w:lang w:val="es-UY"/>
          </w:rPr>
          <w:t>https://orcid.org/0000-0001-8434-3649</w:t>
        </w:r>
      </w:hyperlink>
      <w:r w:rsidRPr="00F74DC7">
        <w:rPr>
          <w:rFonts w:ascii="Times New Roman" w:eastAsia="Times New Roman" w:hAnsi="Times New Roman" w:cs="Times New Roman"/>
          <w:sz w:val="20"/>
          <w:szCs w:val="20"/>
          <w:lang w:val="es-UY"/>
        </w:rPr>
        <w:t xml:space="preserve">) </w:t>
      </w:r>
      <w:r w:rsidRPr="00F74DC7">
        <w:rPr>
          <w:rFonts w:ascii="Times New Roman" w:eastAsia="Times New Roman" w:hAnsi="Times New Roman" w:cs="Times New Roman"/>
          <w:sz w:val="20"/>
          <w:szCs w:val="20"/>
          <w:vertAlign w:val="superscript"/>
          <w:lang w:val="es-UY"/>
        </w:rPr>
        <w:t>+</w:t>
      </w:r>
      <w:proofErr w:type="spellStart"/>
      <w:r w:rsidRPr="00F74DC7">
        <w:rPr>
          <w:rFonts w:ascii="Times New Roman" w:eastAsia="Times New Roman" w:hAnsi="Times New Roman" w:cs="Times New Roman"/>
          <w:sz w:val="20"/>
          <w:szCs w:val="20"/>
          <w:lang w:val="es-UY"/>
        </w:rPr>
        <w:t>Deceased</w:t>
      </w:r>
      <w:proofErr w:type="spellEnd"/>
    </w:p>
    <w:p w14:paraId="00000010" w14:textId="77777777" w:rsidR="00D67D77" w:rsidRPr="00F74DC7" w:rsidRDefault="00D67D77">
      <w:pPr>
        <w:spacing w:line="360" w:lineRule="auto"/>
        <w:rPr>
          <w:rFonts w:ascii="Times New Roman" w:eastAsia="Times New Roman" w:hAnsi="Times New Roman" w:cs="Times New Roman"/>
          <w:sz w:val="20"/>
          <w:szCs w:val="20"/>
          <w:lang w:val="es-UY"/>
        </w:rPr>
      </w:pPr>
    </w:p>
    <w:p w14:paraId="00000011" w14:textId="77777777" w:rsidR="00D67D77" w:rsidRDefault="00000000">
      <w:pPr>
        <w:spacing w:line="360" w:lineRule="auto"/>
        <w:rPr>
          <w:rFonts w:ascii="Times New Roman" w:eastAsia="Times New Roman" w:hAnsi="Times New Roman" w:cs="Times New Roman"/>
          <w:sz w:val="20"/>
          <w:szCs w:val="20"/>
        </w:rPr>
      </w:pPr>
      <w:r w:rsidRPr="00F74DC7">
        <w:rPr>
          <w:rFonts w:ascii="Times New Roman" w:eastAsia="Times New Roman" w:hAnsi="Times New Roman" w:cs="Times New Roman"/>
          <w:sz w:val="20"/>
          <w:szCs w:val="20"/>
          <w:lang w:val="es-UY"/>
        </w:rPr>
        <w:t xml:space="preserve">Soutullo A. Centro Universitario Regional del Este, Universidad de la República, Maldonado, Uruguay. </w:t>
      </w:r>
      <w:r>
        <w:rPr>
          <w:rFonts w:ascii="Times New Roman" w:eastAsia="Times New Roman" w:hAnsi="Times New Roman" w:cs="Times New Roman"/>
          <w:sz w:val="20"/>
          <w:szCs w:val="20"/>
        </w:rPr>
        <w:t>(</w:t>
      </w:r>
      <w:hyperlink r:id="rId14">
        <w:r>
          <w:rPr>
            <w:rFonts w:ascii="Times New Roman" w:eastAsia="Times New Roman" w:hAnsi="Times New Roman" w:cs="Times New Roman"/>
            <w:color w:val="0000FF"/>
            <w:sz w:val="20"/>
            <w:szCs w:val="20"/>
            <w:u w:val="single"/>
          </w:rPr>
          <w:t>https://orcid.org/0000-0002-3198-7878</w:t>
        </w:r>
      </w:hyperlink>
      <w:r>
        <w:rPr>
          <w:rFonts w:ascii="Times New Roman" w:eastAsia="Times New Roman" w:hAnsi="Times New Roman" w:cs="Times New Roman"/>
          <w:sz w:val="20"/>
          <w:szCs w:val="20"/>
        </w:rPr>
        <w:t>)</w:t>
      </w:r>
    </w:p>
    <w:p w14:paraId="00000012" w14:textId="77777777" w:rsidR="00D67D77" w:rsidRDefault="00D67D77">
      <w:pPr>
        <w:spacing w:line="360" w:lineRule="auto"/>
        <w:rPr>
          <w:rFonts w:ascii="Times New Roman" w:eastAsia="Times New Roman" w:hAnsi="Times New Roman" w:cs="Times New Roman"/>
          <w:sz w:val="20"/>
          <w:szCs w:val="20"/>
          <w:vertAlign w:val="superscript"/>
        </w:rPr>
      </w:pPr>
    </w:p>
    <w:p w14:paraId="00000013" w14:textId="77777777" w:rsidR="00D67D77" w:rsidRDefault="00000000">
      <w:pPr>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Abstract</w:t>
      </w:r>
    </w:p>
    <w:p w14:paraId="00000014" w14:textId="324F45EF" w:rsidR="00D67D77" w:rsidRPr="00DD6AA1"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Adélie penguins are considered indicators of Antarctic ecosystems. Their populations have declined by more than 50% in the West Antarctic Peninsula, an area strongly affected </w:t>
      </w:r>
      <w:r w:rsidRPr="00DD6AA1">
        <w:rPr>
          <w:rFonts w:ascii="Times New Roman" w:eastAsia="Times New Roman" w:hAnsi="Times New Roman" w:cs="Times New Roman"/>
          <w:sz w:val="20"/>
          <w:szCs w:val="20"/>
        </w:rPr>
        <w:t>by global warming, and that concentrates most of Antarctic krill harvesting. The use of high-resolution data to identify foraging areas regularly used by krill predators could provide valuable information for current discussions on the development of small-scale management and conservation measures for this region.</w:t>
      </w:r>
      <w:r w:rsidR="00DD6AA1" w:rsidRPr="00DD6AA1">
        <w:rPr>
          <w:rFonts w:ascii="Times New Roman" w:eastAsia="Times New Roman" w:hAnsi="Times New Roman" w:cs="Times New Roman"/>
          <w:sz w:val="20"/>
          <w:szCs w:val="20"/>
        </w:rPr>
        <w:t xml:space="preserve"> </w:t>
      </w:r>
      <w:r w:rsidRPr="00DD6AA1">
        <w:rPr>
          <w:rFonts w:ascii="Times New Roman" w:eastAsia="Times New Roman" w:hAnsi="Times New Roman" w:cs="Times New Roman"/>
          <w:sz w:val="20"/>
          <w:szCs w:val="20"/>
        </w:rPr>
        <w:t xml:space="preserve">We used information on the foraging trips of 57 individuals breeding in King George Island, tracked over 2019/2020, 2020/2021 and 2021/2022 breeding seasons during the chick-rearing stage, to identify their key foraging areas. Using an accelerometry-based latent </w:t>
      </w:r>
      <w:r w:rsidR="00C634C2" w:rsidRPr="00DD6AA1">
        <w:rPr>
          <w:rFonts w:ascii="Times New Roman" w:eastAsia="Times New Roman" w:hAnsi="Times New Roman" w:cs="Times New Roman"/>
          <w:sz w:val="20"/>
          <w:szCs w:val="20"/>
        </w:rPr>
        <w:t>behavioral</w:t>
      </w:r>
      <w:r w:rsidRPr="00DD6AA1">
        <w:rPr>
          <w:rFonts w:ascii="Times New Roman" w:eastAsia="Times New Roman" w:hAnsi="Times New Roman" w:cs="Times New Roman"/>
          <w:sz w:val="20"/>
          <w:szCs w:val="20"/>
        </w:rPr>
        <w:t xml:space="preserve"> analysis approach, we identified an area within 10 km of the colony consistently used by over 60% of the population throughout and between seasons. We also observed that almost 20% of the population uses the area near</w:t>
      </w:r>
      <w:r w:rsidRPr="00DD6AA1">
        <w:t xml:space="preserve"> </w:t>
      </w:r>
      <w:r w:rsidRPr="00DD6AA1">
        <w:rPr>
          <w:rFonts w:ascii="Times New Roman" w:eastAsia="Times New Roman" w:hAnsi="Times New Roman" w:cs="Times New Roman"/>
          <w:sz w:val="20"/>
          <w:szCs w:val="20"/>
        </w:rPr>
        <w:t xml:space="preserve">a seamount located 35 km from the colony for foraging, mainly during the late guarding phase when chick energy demands are highest or the effects of prey depletion might become more evident. The distances and duration of trips and the area explored increased as the season progressed and varied between seasons, consistent </w:t>
      </w:r>
      <w:r>
        <w:rPr>
          <w:rFonts w:ascii="Times New Roman" w:eastAsia="Times New Roman" w:hAnsi="Times New Roman" w:cs="Times New Roman"/>
          <w:sz w:val="20"/>
          <w:szCs w:val="20"/>
        </w:rPr>
        <w:t xml:space="preserve">with annual differences in krill availability observed in the region. Foraging dives comprise roughly 40% of the dives </w:t>
      </w:r>
      <w:r>
        <w:rPr>
          <w:rFonts w:ascii="Times New Roman" w:eastAsia="Times New Roman" w:hAnsi="Times New Roman" w:cs="Times New Roman"/>
          <w:sz w:val="20"/>
          <w:szCs w:val="20"/>
        </w:rPr>
        <w:lastRenderedPageBreak/>
        <w:t xml:space="preserve">performed </w:t>
      </w:r>
      <w:r w:rsidRPr="00DD6AA1">
        <w:rPr>
          <w:rFonts w:ascii="Times New Roman" w:eastAsia="Times New Roman" w:hAnsi="Times New Roman" w:cs="Times New Roman"/>
          <w:sz w:val="20"/>
          <w:szCs w:val="20"/>
        </w:rPr>
        <w:t>during foraging trips, irrespective of the stage of the chick-rearing period, or the season analyzed. Our results emphasize the need to understand how variability in environmental conditions, prey availability, and energetic demands affect how predators use space, and the role that bathymetric features might play in providing reliable foraging grounds, for penguins, in a rapidly changing region.</w:t>
      </w:r>
    </w:p>
    <w:p w14:paraId="00000015" w14:textId="77777777" w:rsidR="00D67D77" w:rsidRDefault="00D67D77">
      <w:pPr>
        <w:spacing w:line="360" w:lineRule="auto"/>
        <w:jc w:val="both"/>
        <w:rPr>
          <w:rFonts w:ascii="Times New Roman" w:eastAsia="Times New Roman" w:hAnsi="Times New Roman" w:cs="Times New Roman"/>
          <w:b/>
          <w:sz w:val="20"/>
          <w:szCs w:val="20"/>
        </w:rPr>
      </w:pPr>
    </w:p>
    <w:p w14:paraId="00000016" w14:textId="77777777" w:rsidR="00D67D77"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b/>
          <w:sz w:val="20"/>
          <w:szCs w:val="20"/>
        </w:rPr>
        <w:t xml:space="preserve">Keywords: </w:t>
      </w:r>
      <w:r>
        <w:rPr>
          <w:rFonts w:ascii="Times New Roman" w:eastAsia="Times New Roman" w:hAnsi="Times New Roman" w:cs="Times New Roman"/>
          <w:color w:val="000000"/>
          <w:sz w:val="20"/>
          <w:szCs w:val="20"/>
        </w:rPr>
        <w:t>CCAMLR, Bransfield Strait, bio-logging, Antarctica, Ardley Island, ecosystem management, foraging ecology</w:t>
      </w:r>
    </w:p>
    <w:p w14:paraId="00000017" w14:textId="77777777" w:rsidR="00D67D77" w:rsidRDefault="00000000">
      <w:pPr>
        <w:rPr>
          <w:color w:val="000000"/>
        </w:rPr>
      </w:pPr>
      <w:r>
        <w:br w:type="page"/>
      </w:r>
    </w:p>
    <w:p w14:paraId="00000018" w14:textId="77777777" w:rsidR="00D67D77" w:rsidRDefault="00000000">
      <w:pPr>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INTRODUCTION</w:t>
      </w:r>
    </w:p>
    <w:p w14:paraId="00000019"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Monitoring marine predators at sea, such as penguins, can identify areas of ecological importance. Areas with high concentrations of predators often indicate a high biodiversity and biomass at lower trophic levels and are, therefore, regions that may require special management (Hindell et al. 2020; </w:t>
      </w:r>
      <w:proofErr w:type="spellStart"/>
      <w:r>
        <w:rPr>
          <w:rFonts w:ascii="Times New Roman" w:eastAsia="Times New Roman" w:hAnsi="Times New Roman" w:cs="Times New Roman"/>
          <w:sz w:val="20"/>
          <w:szCs w:val="20"/>
        </w:rPr>
        <w:t>Ropert-Coudert</w:t>
      </w:r>
      <w:proofErr w:type="spellEnd"/>
      <w:r>
        <w:rPr>
          <w:rFonts w:ascii="Times New Roman" w:eastAsia="Times New Roman" w:hAnsi="Times New Roman" w:cs="Times New Roman"/>
          <w:sz w:val="20"/>
          <w:szCs w:val="20"/>
        </w:rPr>
        <w:t xml:space="preserve"> et al. 2020). With nearly 4 million breeding pairs around Antarctica, Adélie penguins (</w:t>
      </w:r>
      <w:proofErr w:type="spellStart"/>
      <w:r>
        <w:rPr>
          <w:rFonts w:ascii="Times New Roman" w:eastAsia="Times New Roman" w:hAnsi="Times New Roman" w:cs="Times New Roman"/>
          <w:i/>
          <w:sz w:val="20"/>
          <w:szCs w:val="20"/>
        </w:rPr>
        <w:t>Pygoscelis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adeliae</w:t>
      </w:r>
      <w:proofErr w:type="spellEnd"/>
      <w:r>
        <w:rPr>
          <w:rFonts w:ascii="Times New Roman" w:eastAsia="Times New Roman" w:hAnsi="Times New Roman" w:cs="Times New Roman"/>
          <w:sz w:val="20"/>
          <w:szCs w:val="20"/>
        </w:rPr>
        <w:t xml:space="preserve">) are one of the most important and best studied predators in the Southern Ocean (Ancel et al. 2013; Lynch and LaRue 2014). As a key predator of krill and with a strong dependence on the sea-ice environment, the Adélie penguin has been considered an indicator species, being highly sensitive to changes in the marine ecosystem (Boersma 2008; Hinke et al. 2014; </w:t>
      </w:r>
      <w:proofErr w:type="spellStart"/>
      <w:r>
        <w:rPr>
          <w:rFonts w:ascii="Times New Roman" w:eastAsia="Times New Roman" w:hAnsi="Times New Roman" w:cs="Times New Roman"/>
          <w:sz w:val="20"/>
          <w:szCs w:val="20"/>
        </w:rPr>
        <w:t>Ropert-Coudert</w:t>
      </w:r>
      <w:proofErr w:type="spellEnd"/>
      <w:r>
        <w:rPr>
          <w:rFonts w:ascii="Times New Roman" w:eastAsia="Times New Roman" w:hAnsi="Times New Roman" w:cs="Times New Roman"/>
          <w:sz w:val="20"/>
          <w:szCs w:val="20"/>
        </w:rPr>
        <w:t xml:space="preserve"> et al. 2018). </w:t>
      </w:r>
    </w:p>
    <w:p w14:paraId="0000001A" w14:textId="77777777" w:rsidR="00D67D77" w:rsidRDefault="00D67D77">
      <w:pPr>
        <w:spacing w:line="360" w:lineRule="auto"/>
        <w:jc w:val="both"/>
        <w:rPr>
          <w:rFonts w:ascii="Times New Roman" w:eastAsia="Times New Roman" w:hAnsi="Times New Roman" w:cs="Times New Roman"/>
          <w:sz w:val="20"/>
          <w:szCs w:val="20"/>
        </w:rPr>
      </w:pPr>
    </w:p>
    <w:p w14:paraId="0000001B"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western Antarctic Peninsula (WAP), one of the polar areas most affected by global warming, Adélie penguin populations have declined by more than 50% since the 1970s (Trivelpiece et al. 2011; Lynch et al. 2012). In contrast, East Antarctica has experienced a 1.5% increase in sea-ice extent (Michel et al. 2019), with Adélie penguin populations stable or slightly increasing (Southwell et al. 2015). Penguin population decline in the WAP has been linked to large-scale changes in the biomass of Antarctic krill (</w:t>
      </w:r>
      <w:proofErr w:type="spellStart"/>
      <w:r>
        <w:rPr>
          <w:rFonts w:ascii="Times New Roman" w:eastAsia="Times New Roman" w:hAnsi="Times New Roman" w:cs="Times New Roman"/>
          <w:i/>
          <w:sz w:val="20"/>
          <w:szCs w:val="20"/>
        </w:rPr>
        <w:t>Euphausia</w:t>
      </w:r>
      <w:proofErr w:type="spellEnd"/>
      <w:r>
        <w:rPr>
          <w:rFonts w:ascii="Times New Roman" w:eastAsia="Times New Roman" w:hAnsi="Times New Roman" w:cs="Times New Roman"/>
          <w:i/>
          <w:sz w:val="20"/>
          <w:szCs w:val="20"/>
        </w:rPr>
        <w:t xml:space="preserve"> superba</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Trivelpiece</w:t>
      </w:r>
      <w:proofErr w:type="spellEnd"/>
      <w:r>
        <w:rPr>
          <w:rFonts w:ascii="Times New Roman" w:eastAsia="Times New Roman" w:hAnsi="Times New Roman" w:cs="Times New Roman"/>
          <w:sz w:val="20"/>
          <w:szCs w:val="20"/>
        </w:rPr>
        <w:t xml:space="preserve"> et al. 2011). Antarctic krill is being affected by ongoing environmental changes, with a decrease in density and mean size, and a southward contraction in the southwest (SW) Atlantic sector associated with warm, windy and cloudy weather, and a reduction in sea ice (Atkinson et al. 2019). This is noteworthy because further environmental changes could cause additional range contractions and decrease in krill biomass along the WAP (Klein et al. 2018; Atkinson et al. 2019), which could lead to a mismatch between peak food availability and breeding season, increasing penguin foraging efforts and decreasing reproductive success (Cimino et al. 2023; </w:t>
      </w:r>
      <w:proofErr w:type="spellStart"/>
      <w:r>
        <w:rPr>
          <w:rFonts w:ascii="Times New Roman" w:eastAsia="Times New Roman" w:hAnsi="Times New Roman" w:cs="Times New Roman"/>
          <w:sz w:val="20"/>
          <w:szCs w:val="20"/>
        </w:rPr>
        <w:t>Salmerón</w:t>
      </w:r>
      <w:proofErr w:type="spellEnd"/>
      <w:r>
        <w:rPr>
          <w:rFonts w:ascii="Times New Roman" w:eastAsia="Times New Roman" w:hAnsi="Times New Roman" w:cs="Times New Roman"/>
          <w:sz w:val="20"/>
          <w:szCs w:val="20"/>
        </w:rPr>
        <w:t xml:space="preserve"> et al. 2023).</w:t>
      </w:r>
    </w:p>
    <w:p w14:paraId="0000001C" w14:textId="77777777" w:rsidR="00D67D77" w:rsidRDefault="00D67D77">
      <w:pPr>
        <w:spacing w:line="360" w:lineRule="auto"/>
        <w:jc w:val="both"/>
        <w:rPr>
          <w:rFonts w:ascii="Times New Roman" w:eastAsia="Times New Roman" w:hAnsi="Times New Roman" w:cs="Times New Roman"/>
          <w:sz w:val="24"/>
          <w:szCs w:val="24"/>
        </w:rPr>
      </w:pPr>
    </w:p>
    <w:p w14:paraId="0000001D"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addition, the commercial catch of krill has increased in recent years in the SW Atlantic sector (FAO statistical Area 48) reaching in the 2019/2020 season the highest level recorded (CCAMLR 2021). Catches are also intensifying, with the fleet repeatedly visiting fishing hotspots, particularly close to predator breeding colonies in the Bransfield Strait and South Shetland Islands (Santa Cruz et al. 2018; Trathan et al. 2018). Hinke et al. (2017) highlight that direct overlap of krill-dependent predators with the krill fishery on small spatiotemporal scales is relatively common throughout the WAP, and several works have pointed out the need for a krill exploitation framework that ensures small-scale precautionary protection to minimize negative effects on dependent predators (Santa Cruz et al. 2018; Watters et al. 2020; Trathan et al. 2022). </w:t>
      </w:r>
    </w:p>
    <w:p w14:paraId="0000001E" w14:textId="77777777" w:rsidR="00D67D77" w:rsidRDefault="00D67D77">
      <w:pPr>
        <w:spacing w:line="360" w:lineRule="auto"/>
        <w:jc w:val="both"/>
        <w:rPr>
          <w:rFonts w:ascii="Times New Roman" w:eastAsia="Times New Roman" w:hAnsi="Times New Roman" w:cs="Times New Roman"/>
          <w:sz w:val="20"/>
          <w:szCs w:val="20"/>
        </w:rPr>
      </w:pPr>
    </w:p>
    <w:p w14:paraId="0000001F" w14:textId="3A105950" w:rsidR="00D67D77" w:rsidRPr="00DD6AA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During the breeding season, Adélie penguins are central-place foragers, as they must frequently return to the colony to incubate their eggs or feed their offspring. These seabirds change their foraging behavior in response to environmental variability, fluctuations in prey availability and chick provisioning requirements throughout the season (Clarke et al. 2006; Ballard et al. 2010). The foraging strategies of Adélie penguins have been well studied in the WAP (Wilson et al. 1994; Wilson 2002</w:t>
      </w:r>
      <w:r w:rsidR="00DD6AA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2010; Fraser and Hofmann 2003; Cimino et al. 2016; Hinke et al. 2017; Warwick-Evans et al. 2022). In general, they tend to forage offshore in the upper 50 m of the water column (Trivelpiece et al. 1987; Wilson 2010; Cimino et al. 2016), and unlike colonies in East Antarctica and the Ross Sea, the diet of the colonies in the WAP and the South Shetland Islands is dominated by Antarctic krill throughout the breeding season (Gorman et al. 2014; Negrete et al. 2016; Herman et al. 2017; </w:t>
      </w:r>
      <w:proofErr w:type="spellStart"/>
      <w:r>
        <w:rPr>
          <w:rFonts w:ascii="Times New Roman" w:eastAsia="Times New Roman" w:hAnsi="Times New Roman" w:cs="Times New Roman"/>
          <w:sz w:val="20"/>
          <w:szCs w:val="20"/>
        </w:rPr>
        <w:t>Juáres</w:t>
      </w:r>
      <w:proofErr w:type="spellEnd"/>
      <w:r>
        <w:rPr>
          <w:rFonts w:ascii="Times New Roman" w:eastAsia="Times New Roman" w:hAnsi="Times New Roman" w:cs="Times New Roman"/>
          <w:sz w:val="20"/>
          <w:szCs w:val="20"/>
        </w:rPr>
        <w:t xml:space="preserve"> et al. 2018; Pickett et al. </w:t>
      </w:r>
      <w:r w:rsidRPr="00DD6AA1">
        <w:rPr>
          <w:rFonts w:ascii="Times New Roman" w:eastAsia="Times New Roman" w:hAnsi="Times New Roman" w:cs="Times New Roman"/>
          <w:sz w:val="20"/>
          <w:szCs w:val="20"/>
        </w:rPr>
        <w:lastRenderedPageBreak/>
        <w:t>2018). However, considerable colony-specific differences are evident in Adélie penguin foraging behavior. The variability in abundance and distribution of prey driven by regional variation in physical and environmental features, such as sea ice cover near the colonies or different bathymetric features (e.g. submarine canyons), influences differences in foraging ecology between penguin populations along the WAP (Fraser and Trivelpiece 1996; Santora and Reiss 2011; Cimino et al. 2016; Nardelli et al. 2021).</w:t>
      </w:r>
    </w:p>
    <w:p w14:paraId="00000020" w14:textId="77777777" w:rsidR="00D67D77" w:rsidRPr="00DD6AA1" w:rsidRDefault="00D67D77">
      <w:pPr>
        <w:spacing w:line="360" w:lineRule="auto"/>
        <w:jc w:val="both"/>
        <w:rPr>
          <w:rFonts w:ascii="Times New Roman" w:eastAsia="Times New Roman" w:hAnsi="Times New Roman" w:cs="Times New Roman"/>
          <w:sz w:val="20"/>
          <w:szCs w:val="20"/>
        </w:rPr>
      </w:pPr>
    </w:p>
    <w:p w14:paraId="00000021" w14:textId="34F9DCAB" w:rsidR="00D67D77" w:rsidRPr="00DD6AA1" w:rsidRDefault="00000000">
      <w:pPr>
        <w:spacing w:line="360" w:lineRule="auto"/>
        <w:jc w:val="both"/>
        <w:rPr>
          <w:rFonts w:ascii="Times New Roman" w:eastAsia="Times New Roman" w:hAnsi="Times New Roman" w:cs="Times New Roman"/>
          <w:sz w:val="20"/>
          <w:szCs w:val="20"/>
        </w:rPr>
      </w:pPr>
      <w:bookmarkStart w:id="2" w:name="_heading=h.2et92p0" w:colFirst="0" w:colLast="0"/>
      <w:bookmarkEnd w:id="2"/>
      <w:r w:rsidRPr="00DD6AA1">
        <w:rPr>
          <w:rFonts w:ascii="Times New Roman" w:eastAsia="Times New Roman" w:hAnsi="Times New Roman" w:cs="Times New Roman"/>
          <w:sz w:val="20"/>
          <w:szCs w:val="20"/>
        </w:rPr>
        <w:t>Given this scenario of rapid climate change and intensification of krill fisheries in the WAP, monitoring Adélie penguins foraging behavior may improve our understanding on how predators respond to inter-annual variation in krill availability. Furthermore, the use of high-resolution data, such as accelerometers, to identify foraging areas regularly used by these krill predators, could provide valuable information for the development of small-scale management and conservation measures for this region. This is particularly relevant in a warming Antarctic Peninsula scenario (Siegert et al. 2019), where the impacts of ongoing decrease in sea-ice habitat and southward shifts in marine species distributions are exacerbated by the effects of marine resource extraction.</w:t>
      </w:r>
    </w:p>
    <w:p w14:paraId="00000022" w14:textId="77777777" w:rsidR="00D67D77" w:rsidRDefault="00D67D77">
      <w:pPr>
        <w:spacing w:line="360" w:lineRule="auto"/>
        <w:jc w:val="both"/>
        <w:rPr>
          <w:rFonts w:ascii="Times New Roman" w:eastAsia="Times New Roman" w:hAnsi="Times New Roman" w:cs="Times New Roman"/>
          <w:sz w:val="20"/>
          <w:szCs w:val="20"/>
        </w:rPr>
      </w:pPr>
    </w:p>
    <w:p w14:paraId="00000023" w14:textId="060EE3CC" w:rsidR="00D67D77" w:rsidRPr="00DD6AA1" w:rsidRDefault="00000000">
      <w:pPr>
        <w:spacing w:line="360" w:lineRule="auto"/>
        <w:jc w:val="both"/>
        <w:rPr>
          <w:rFonts w:ascii="Times New Roman" w:eastAsia="Times New Roman" w:hAnsi="Times New Roman" w:cs="Times New Roman"/>
          <w:sz w:val="20"/>
          <w:szCs w:val="20"/>
        </w:rPr>
      </w:pPr>
      <w:r w:rsidRPr="00DD6AA1">
        <w:rPr>
          <w:rFonts w:ascii="Times New Roman" w:eastAsia="Times New Roman" w:hAnsi="Times New Roman" w:cs="Times New Roman"/>
          <w:sz w:val="20"/>
          <w:szCs w:val="20"/>
        </w:rPr>
        <w:t xml:space="preserve">Thus, the objective of this study is to describe the foraging behavior and identify foraging areas used by Adélie penguins breeding in Ardley Island, in King George Island/Isla 25 de Mayo, South Shetland Islands, an area free of sea-ice throughout the summer. We analyze changes in penguins foraging behavior during the chick rearing stage, a highly demandant period for breeding adults due to the increasing energetic requirements of chicks and foraging constraints as central place foragers (Bevan et al. 2002; Clarke et al. 2006). As chicks grow, the energy needs of adults and the tolerance of chicks to fasting also change, affecting adult foraging behavior throughout the breeding season (Widmann et al. 2015; Riaz et al. 2020; Phillips et al. 2021). To ensure regular feeding of offspring, adults should seek to minimize time away from the colony prioritizing the exploitation of food resources available nearby. However, when prey availability in the vicinity of the colony is low, they have to increase the time away from the colony as they forage in more distant areas (Clarke et al. 2006). </w:t>
      </w:r>
      <w:r w:rsidR="000B3712" w:rsidRPr="00DD6AA1">
        <w:rPr>
          <w:rFonts w:ascii="Times New Roman" w:eastAsia="Times New Roman" w:hAnsi="Times New Roman" w:cs="Times New Roman"/>
          <w:sz w:val="20"/>
          <w:szCs w:val="20"/>
        </w:rPr>
        <w:t xml:space="preserve">Therefore, we expect foraging effort (e.g., trips distances or duration) to increase as the season progresses, or in years with reduced krill availability, with foraging areas’ location varying accordingly. </w:t>
      </w:r>
      <w:r w:rsidRPr="00DD6AA1">
        <w:rPr>
          <w:rFonts w:ascii="Times New Roman" w:eastAsia="Times New Roman" w:hAnsi="Times New Roman" w:cs="Times New Roman"/>
          <w:sz w:val="20"/>
          <w:szCs w:val="20"/>
        </w:rPr>
        <w:t>Identifying foraging areas that are regularly used by penguin colonies enables adopting spatially explicit conservation measure aimed at avoiding overlap between fisheries and predators during this key stage of the annual cycle.</w:t>
      </w:r>
    </w:p>
    <w:p w14:paraId="00000024" w14:textId="77777777" w:rsidR="00D67D77" w:rsidRDefault="00D67D77">
      <w:pPr>
        <w:spacing w:line="360" w:lineRule="auto"/>
        <w:jc w:val="both"/>
        <w:rPr>
          <w:rFonts w:ascii="Times New Roman" w:eastAsia="Times New Roman" w:hAnsi="Times New Roman" w:cs="Times New Roman"/>
          <w:sz w:val="20"/>
          <w:szCs w:val="20"/>
        </w:rPr>
      </w:pPr>
    </w:p>
    <w:p w14:paraId="00000025" w14:textId="77777777" w:rsidR="00D67D77" w:rsidRDefault="00000000">
      <w:pPr>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MATERIALS AND METHODS</w:t>
      </w:r>
    </w:p>
    <w:p w14:paraId="00000026" w14:textId="77777777" w:rsidR="00D67D77" w:rsidRDefault="00000000">
      <w:pPr>
        <w:spacing w:line="360" w:lineRule="auto"/>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Study area</w:t>
      </w:r>
    </w:p>
    <w:p w14:paraId="00000027" w14:textId="4BD28C8D"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Ardley Island (62°13′ S, 58°56′ W), in the southwest of King George Island/Isla 25 de Mayo, South Shetland Islands (Fig. 1), is an Antarctic Specially Protected Area (ASPA N° 150), a CEMP (CCAMLR Ecosystem Monitoring Program) site, and one of the few areas in Antarctica where the three </w:t>
      </w:r>
      <w:proofErr w:type="spellStart"/>
      <w:r>
        <w:rPr>
          <w:rFonts w:ascii="Times New Roman" w:eastAsia="Times New Roman" w:hAnsi="Times New Roman" w:cs="Times New Roman"/>
          <w:sz w:val="20"/>
          <w:szCs w:val="20"/>
        </w:rPr>
        <w:t>pygoscelid</w:t>
      </w:r>
      <w:proofErr w:type="spellEnd"/>
      <w:r>
        <w:rPr>
          <w:rFonts w:ascii="Times New Roman" w:eastAsia="Times New Roman" w:hAnsi="Times New Roman" w:cs="Times New Roman"/>
          <w:sz w:val="20"/>
          <w:szCs w:val="20"/>
        </w:rPr>
        <w:t xml:space="preserve"> penguin species breed </w:t>
      </w:r>
      <w:proofErr w:type="spellStart"/>
      <w:r>
        <w:rPr>
          <w:rFonts w:ascii="Times New Roman" w:eastAsia="Times New Roman" w:hAnsi="Times New Roman" w:cs="Times New Roman"/>
          <w:sz w:val="20"/>
          <w:szCs w:val="20"/>
        </w:rPr>
        <w:t>sympatrically</w:t>
      </w:r>
      <w:proofErr w:type="spellEnd"/>
      <w:r>
        <w:rPr>
          <w:rFonts w:ascii="Times New Roman" w:eastAsia="Times New Roman" w:hAnsi="Times New Roman" w:cs="Times New Roman"/>
          <w:sz w:val="20"/>
          <w:szCs w:val="20"/>
        </w:rPr>
        <w:t xml:space="preserve"> (Braun et al. 2017). Breeding population size and breeding success has been monitored since the 1980s. According to Braun et al. (2017), the numbers of breeding pairs of Adélie penguins have decreased by more </w:t>
      </w:r>
      <w:r w:rsidRPr="00DD6AA1">
        <w:rPr>
          <w:rFonts w:ascii="Times New Roman" w:eastAsia="Times New Roman" w:hAnsi="Times New Roman" w:cs="Times New Roman"/>
          <w:sz w:val="20"/>
          <w:szCs w:val="20"/>
        </w:rPr>
        <w:t xml:space="preserve">than 30% since counts began, reaching the minimum of 184 breeding pairs in the 2022/2023 season (this </w:t>
      </w:r>
      <w:r w:rsidR="00DD6AA1">
        <w:rPr>
          <w:rFonts w:ascii="Times New Roman" w:eastAsia="Times New Roman" w:hAnsi="Times New Roman" w:cs="Times New Roman"/>
          <w:sz w:val="20"/>
          <w:szCs w:val="20"/>
        </w:rPr>
        <w:t>study</w:t>
      </w:r>
      <w:r w:rsidRPr="00DD6AA1">
        <w:rPr>
          <w:rFonts w:ascii="Times New Roman" w:eastAsia="Times New Roman" w:hAnsi="Times New Roman" w:cs="Times New Roman"/>
          <w:sz w:val="20"/>
          <w:szCs w:val="20"/>
        </w:rPr>
        <w:t>). In line with popu</w:t>
      </w:r>
      <w:r>
        <w:rPr>
          <w:rFonts w:ascii="Times New Roman" w:eastAsia="Times New Roman" w:hAnsi="Times New Roman" w:cs="Times New Roman"/>
          <w:sz w:val="20"/>
          <w:szCs w:val="20"/>
        </w:rPr>
        <w:t xml:space="preserve">lation trends at other colonies in the region, the number of breeding pairs of chinstrap penguins at Ardley Island has declined by more than 90%, with a total of only six breeding pairs in the 2022/2023 season. In contrast, the number of gentoo penguins increased by over 80% during the same period, with a total of 8763 </w:t>
      </w:r>
      <w:r>
        <w:rPr>
          <w:rFonts w:ascii="Times New Roman" w:eastAsia="Times New Roman" w:hAnsi="Times New Roman" w:cs="Times New Roman"/>
          <w:sz w:val="20"/>
          <w:szCs w:val="20"/>
        </w:rPr>
        <w:lastRenderedPageBreak/>
        <w:t xml:space="preserve">breeding pairs in the same season (this paper). Other Adélie, chinstrap and gentoo colonies in the vicinity of the study site (i.e., in Maxwell Bay) include: </w:t>
      </w:r>
      <w:proofErr w:type="spellStart"/>
      <w:r>
        <w:rPr>
          <w:rFonts w:ascii="Times New Roman" w:eastAsia="Times New Roman" w:hAnsi="Times New Roman" w:cs="Times New Roman"/>
          <w:sz w:val="20"/>
          <w:szCs w:val="20"/>
        </w:rPr>
        <w:t>Narębski</w:t>
      </w:r>
      <w:proofErr w:type="spellEnd"/>
      <w:r>
        <w:rPr>
          <w:rFonts w:ascii="Times New Roman" w:eastAsia="Times New Roman" w:hAnsi="Times New Roman" w:cs="Times New Roman"/>
          <w:sz w:val="20"/>
          <w:szCs w:val="20"/>
        </w:rPr>
        <w:t xml:space="preserve"> Point with 2918 chinstrap and 2604 gentoo breeding pairs (Lee et al. 2021); Duthoit Point with 1828 gentoo penguin breeding pairs (Coria et al. 1995); Stranger Point with 3703 Adélie and 5383 gentoo breeding pairs (</w:t>
      </w:r>
      <w:proofErr w:type="spellStart"/>
      <w:r>
        <w:rPr>
          <w:rFonts w:ascii="Times New Roman" w:eastAsia="Times New Roman" w:hAnsi="Times New Roman" w:cs="Times New Roman"/>
          <w:sz w:val="20"/>
          <w:szCs w:val="20"/>
        </w:rPr>
        <w:t>Juáres</w:t>
      </w:r>
      <w:proofErr w:type="spellEnd"/>
      <w:r>
        <w:rPr>
          <w:rFonts w:ascii="Times New Roman" w:eastAsia="Times New Roman" w:hAnsi="Times New Roman" w:cs="Times New Roman"/>
          <w:sz w:val="20"/>
          <w:szCs w:val="20"/>
        </w:rPr>
        <w:t xml:space="preserve"> et al. 2015, 2020).</w:t>
      </w:r>
    </w:p>
    <w:p w14:paraId="00000028" w14:textId="77777777" w:rsidR="00D67D77" w:rsidRDefault="00D67D77">
      <w:pPr>
        <w:spacing w:line="360" w:lineRule="auto"/>
        <w:jc w:val="both"/>
        <w:rPr>
          <w:rFonts w:ascii="Times New Roman" w:eastAsia="Times New Roman" w:hAnsi="Times New Roman" w:cs="Times New Roman"/>
          <w:sz w:val="20"/>
          <w:szCs w:val="20"/>
        </w:rPr>
      </w:pPr>
    </w:p>
    <w:p w14:paraId="00000029" w14:textId="77777777" w:rsidR="00D67D77" w:rsidRDefault="00000000" w:rsidP="00302488">
      <w:pPr>
        <w:suppressLineNumbers/>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0DDD1B9A" wp14:editId="76788C87">
            <wp:extent cx="5758505" cy="57912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758505" cy="5791200"/>
                    </a:xfrm>
                    <a:prstGeom prst="rect">
                      <a:avLst/>
                    </a:prstGeom>
                    <a:ln/>
                  </pic:spPr>
                </pic:pic>
              </a:graphicData>
            </a:graphic>
          </wp:inline>
        </w:drawing>
      </w:r>
    </w:p>
    <w:p w14:paraId="0000002A" w14:textId="77777777" w:rsidR="00D67D77" w:rsidRPr="00DD6AA1" w:rsidRDefault="00000000">
      <w:pPr>
        <w:rPr>
          <w:rFonts w:ascii="Times New Roman" w:eastAsia="Times New Roman" w:hAnsi="Times New Roman" w:cs="Times New Roman"/>
          <w:sz w:val="20"/>
          <w:szCs w:val="20"/>
        </w:rPr>
      </w:pPr>
      <w:r>
        <w:rPr>
          <w:rFonts w:ascii="Times New Roman" w:eastAsia="Times New Roman" w:hAnsi="Times New Roman" w:cs="Times New Roman"/>
          <w:b/>
          <w:sz w:val="20"/>
          <w:szCs w:val="20"/>
        </w:rPr>
        <w:t>Fig. 1</w:t>
      </w:r>
      <w:r>
        <w:rPr>
          <w:rFonts w:ascii="Times New Roman" w:eastAsia="Times New Roman" w:hAnsi="Times New Roman" w:cs="Times New Roman"/>
          <w:sz w:val="20"/>
          <w:szCs w:val="20"/>
        </w:rPr>
        <w:t xml:space="preserve"> GPS tracks of Adélie penguins breeding in Ardley Island (yellow star), King George Island, South Shetland Archipelago, Antarctica, during the early and late guard over three season (2019/20 </w:t>
      </w:r>
      <w:r w:rsidRPr="00DD6AA1">
        <w:rPr>
          <w:rFonts w:ascii="Times New Roman" w:eastAsia="Times New Roman" w:hAnsi="Times New Roman" w:cs="Times New Roman"/>
          <w:sz w:val="20"/>
          <w:szCs w:val="20"/>
        </w:rPr>
        <w:t>– 2021/22). Inset panel in a) shows the location of King George Island (red square) in the northwest of the Antarctic Peninsula</w:t>
      </w:r>
    </w:p>
    <w:p w14:paraId="0000002B" w14:textId="77777777" w:rsidR="00D67D77" w:rsidRDefault="00D67D77">
      <w:pPr>
        <w:rPr>
          <w:rFonts w:ascii="Times New Roman" w:eastAsia="Times New Roman" w:hAnsi="Times New Roman" w:cs="Times New Roman"/>
          <w:sz w:val="20"/>
          <w:szCs w:val="20"/>
        </w:rPr>
      </w:pPr>
    </w:p>
    <w:p w14:paraId="0000002C" w14:textId="77777777" w:rsidR="00D67D77" w:rsidRDefault="00000000">
      <w:pP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Field procedure (Deployment of data loggers)</w:t>
      </w:r>
    </w:p>
    <w:p w14:paraId="0000002D" w14:textId="3F00FACF"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study was conducted over three breeding </w:t>
      </w:r>
      <w:r w:rsidRPr="00DD6AA1">
        <w:rPr>
          <w:rFonts w:ascii="Times New Roman" w:eastAsia="Times New Roman" w:hAnsi="Times New Roman" w:cs="Times New Roman"/>
          <w:sz w:val="20"/>
          <w:szCs w:val="20"/>
        </w:rPr>
        <w:t xml:space="preserve">seasons: 2019/2020, 2020/2021 and 2021/2022. </w:t>
      </w:r>
      <w:proofErr w:type="spellStart"/>
      <w:r w:rsidRPr="00DD6AA1">
        <w:rPr>
          <w:rFonts w:ascii="Times New Roman" w:eastAsia="Times New Roman" w:hAnsi="Times New Roman" w:cs="Times New Roman"/>
          <w:sz w:val="20"/>
          <w:szCs w:val="20"/>
        </w:rPr>
        <w:t>Axy</w:t>
      </w:r>
      <w:proofErr w:type="spellEnd"/>
      <w:r w:rsidRPr="00DD6AA1">
        <w:rPr>
          <w:rFonts w:ascii="Times New Roman" w:eastAsia="Times New Roman" w:hAnsi="Times New Roman" w:cs="Times New Roman"/>
          <w:sz w:val="20"/>
          <w:szCs w:val="20"/>
        </w:rPr>
        <w:t xml:space="preserve">-Trek (70 x 40 x 15 mm, 69 g; </w:t>
      </w:r>
      <w:proofErr w:type="spellStart"/>
      <w:r w:rsidRPr="00DD6AA1">
        <w:rPr>
          <w:rFonts w:ascii="Times New Roman" w:eastAsia="Times New Roman" w:hAnsi="Times New Roman" w:cs="Times New Roman"/>
          <w:sz w:val="20"/>
          <w:szCs w:val="20"/>
        </w:rPr>
        <w:t>TechnoSmart</w:t>
      </w:r>
      <w:proofErr w:type="spellEnd"/>
      <w:r w:rsidRPr="00DD6AA1">
        <w:rPr>
          <w:rFonts w:ascii="Times New Roman" w:eastAsia="Times New Roman" w:hAnsi="Times New Roman" w:cs="Times New Roman"/>
          <w:sz w:val="20"/>
          <w:szCs w:val="20"/>
        </w:rPr>
        <w:t xml:space="preserve">, Italy) loggers including GPS, accelerometer, and both pressure and temperature sensors were deployed on adult Adélie penguins rearing chicks. To account for the increasing demand for food by chicks as they grow and its possible influence on adult foraging behavior (Widmann et al. 2015), we divided the chick rearing period into two stages: early guard and late guard. Due to logistical limitations, not all stages could </w:t>
      </w:r>
      <w:r w:rsidRPr="00DD6AA1">
        <w:rPr>
          <w:rFonts w:ascii="Times New Roman" w:eastAsia="Times New Roman" w:hAnsi="Times New Roman" w:cs="Times New Roman"/>
          <w:sz w:val="20"/>
          <w:szCs w:val="20"/>
        </w:rPr>
        <w:lastRenderedPageBreak/>
        <w:t>be sampled equally in the three years of the study, so data were obtained for early guard stage during 2019/2020 and 2021/2020, and for late guard during 2020/2021 and 2021/2022 breeding seasons (See Table 1). The chick rearing period (i.e., “guard”) stage lasts about 22 days (Black 2016), with hatching beginning in late November</w:t>
      </w:r>
      <w:r>
        <w:rPr>
          <w:rFonts w:ascii="Times New Roman" w:eastAsia="Times New Roman" w:hAnsi="Times New Roman" w:cs="Times New Roman"/>
          <w:sz w:val="20"/>
          <w:szCs w:val="20"/>
        </w:rPr>
        <w:t>-early December on King George Island/Isla 25 de Mayo (</w:t>
      </w:r>
      <w:proofErr w:type="spellStart"/>
      <w:r>
        <w:rPr>
          <w:rFonts w:ascii="Times New Roman" w:eastAsia="Times New Roman" w:hAnsi="Times New Roman" w:cs="Times New Roman"/>
          <w:sz w:val="20"/>
          <w:szCs w:val="20"/>
        </w:rPr>
        <w:t>Juáres</w:t>
      </w:r>
      <w:proofErr w:type="spellEnd"/>
      <w:r>
        <w:rPr>
          <w:rFonts w:ascii="Times New Roman" w:eastAsia="Times New Roman" w:hAnsi="Times New Roman" w:cs="Times New Roman"/>
          <w:sz w:val="20"/>
          <w:szCs w:val="20"/>
        </w:rPr>
        <w:t xml:space="preserve"> 2013; Handley et al. 2021). During the study period, the peak of hatching in the studied colony occurred between December 4 and 6 (this study). Here we defined the early guard stage as approximately the first half of the chick rearing period (between December 6 and 23) and the late guard as the second half of the period and just before the start of crèche (between December 24 and January 6).</w:t>
      </w:r>
    </w:p>
    <w:p w14:paraId="0000002E" w14:textId="77777777" w:rsidR="00D67D77" w:rsidRDefault="00D67D77">
      <w:pPr>
        <w:spacing w:line="360" w:lineRule="auto"/>
        <w:jc w:val="both"/>
      </w:pPr>
    </w:p>
    <w:p w14:paraId="0000002F"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We captured only one member of the pair in nests with two chicks, mainly by hand, with the occasional aid of a long-handled net. We also captured chicks during adult handling to protect them from predators and measured their body mass with a Pesola spring balance. We took care to minimize stress to the captured adults by covering the head during handling and ensuring that handling time was always below 20 minutes. The recorders were attached on the birds’ lower back feathers using Tesa® 4651 tape (Wilson et al. 1997). The loggers used represent 1.6% of the body mass of an adult Adélie penguin (mean for Ardley Island 3847 ± 392.3 g; this study). The loggers were programmed to record a position every 5 min, pressure (in millibars) at 1 Hz and acceleration along the 3 body axes of the penguins: longitudinal (surge), </w:t>
      </w:r>
      <w:proofErr w:type="spellStart"/>
      <w:r>
        <w:rPr>
          <w:rFonts w:ascii="Times New Roman" w:eastAsia="Times New Roman" w:hAnsi="Times New Roman" w:cs="Times New Roman"/>
          <w:sz w:val="20"/>
          <w:szCs w:val="20"/>
        </w:rPr>
        <w:t>dorso</w:t>
      </w:r>
      <w:proofErr w:type="spellEnd"/>
      <w:r>
        <w:rPr>
          <w:rFonts w:ascii="Times New Roman" w:eastAsia="Times New Roman" w:hAnsi="Times New Roman" w:cs="Times New Roman"/>
          <w:sz w:val="20"/>
          <w:szCs w:val="20"/>
        </w:rPr>
        <w:t xml:space="preserve">-ventral (heave) and lateral (sway) at 50 Hz. The tagged birds were recaptured in the nest after 3-7 days and the loggers were removed to access recorded data. After device removal, body mass of the adults and chicks were measured using a Pesola spring balance. </w:t>
      </w:r>
    </w:p>
    <w:p w14:paraId="00000030" w14:textId="77777777" w:rsidR="00D67D77" w:rsidRDefault="00D67D77">
      <w:pPr>
        <w:spacing w:line="360" w:lineRule="auto"/>
        <w:jc w:val="both"/>
        <w:rPr>
          <w:rFonts w:ascii="Times New Roman" w:eastAsia="Times New Roman" w:hAnsi="Times New Roman" w:cs="Times New Roman"/>
          <w:sz w:val="20"/>
          <w:szCs w:val="20"/>
        </w:rPr>
      </w:pPr>
    </w:p>
    <w:p w14:paraId="00000031" w14:textId="77777777" w:rsidR="00D67D77" w:rsidRDefault="00000000">
      <w:pPr>
        <w:spacing w:line="360" w:lineRule="auto"/>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GPS and dive data analysis</w:t>
      </w:r>
    </w:p>
    <w:p w14:paraId="00000032"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GPS data from a total of 205 trips, undertaken by 57 birds with each bird making between two to nine trips, were analyzed using the R </w:t>
      </w:r>
      <w:r w:rsidRPr="00DD6AA1">
        <w:rPr>
          <w:rFonts w:ascii="Times New Roman" w:eastAsia="Times New Roman" w:hAnsi="Times New Roman" w:cs="Times New Roman"/>
          <w:sz w:val="20"/>
          <w:szCs w:val="20"/>
        </w:rPr>
        <w:t xml:space="preserve">software (version 4.1.3; R Core Team 2022). Excessive points recorded before departure and after arrival at the colony were manually removed, retaining only five points </w:t>
      </w:r>
      <w:r>
        <w:rPr>
          <w:rFonts w:ascii="Times New Roman" w:eastAsia="Times New Roman" w:hAnsi="Times New Roman" w:cs="Times New Roman"/>
          <w:sz w:val="20"/>
          <w:szCs w:val="20"/>
        </w:rPr>
        <w:t xml:space="preserve">located at the colony in each case. To filter possible erroneous location estimates we removed points leading to horizontal speeds above 7 </w:t>
      </w:r>
      <w:proofErr w:type="spellStart"/>
      <w:r>
        <w:rPr>
          <w:rFonts w:ascii="Times New Roman" w:eastAsia="Times New Roman" w:hAnsi="Times New Roman" w:cs="Times New Roman"/>
          <w:sz w:val="20"/>
          <w:szCs w:val="20"/>
        </w:rPr>
        <w:t>km.h</w:t>
      </w:r>
      <w:proofErr w:type="spellEnd"/>
      <w:r>
        <w:rPr>
          <w:rFonts w:ascii="Times New Roman" w:eastAsia="Times New Roman" w:hAnsi="Times New Roman" w:cs="Times New Roman"/>
          <w:sz w:val="20"/>
          <w:szCs w:val="20"/>
        </w:rPr>
        <w:t>- 1. This velocity threshold was chosen based on our data and less than 1% of the records were above that value (Fig. S1). For each individual, foraging trips were defined from the time the birds moved more than 50 m from the colony to the sea until the time they were within 50 m of the colony again. The number of trips, and the date and time of the start and end of each trip were calculated for each individual. With this, three representative parameters of foraging effort were also calculated for each trip: total trip duration, total trip distance (i.e. the cumulative horizontal distance between all GPS locations per bird per trip), and maximum distance to the colony (i.e. the straight line distance between the colony and the most distal point of a trip).</w:t>
      </w:r>
    </w:p>
    <w:p w14:paraId="00000033"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34" w14:textId="4FCE1C29"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Dives were analyzed using the software Igor Pro Version 6.37 (</w:t>
      </w:r>
      <w:proofErr w:type="spellStart"/>
      <w:r>
        <w:rPr>
          <w:rFonts w:ascii="Times New Roman" w:eastAsia="Times New Roman" w:hAnsi="Times New Roman" w:cs="Times New Roman"/>
          <w:sz w:val="20"/>
          <w:szCs w:val="20"/>
        </w:rPr>
        <w:t>Wavemetrics</w:t>
      </w:r>
      <w:proofErr w:type="spellEnd"/>
      <w:r>
        <w:rPr>
          <w:rFonts w:ascii="Times New Roman" w:eastAsia="Times New Roman" w:hAnsi="Times New Roman" w:cs="Times New Roman"/>
          <w:sz w:val="20"/>
          <w:szCs w:val="20"/>
        </w:rPr>
        <w:t>). Pressure (</w:t>
      </w:r>
      <w:proofErr w:type="spellStart"/>
      <w:r>
        <w:rPr>
          <w:rFonts w:ascii="Times New Roman" w:eastAsia="Times New Roman" w:hAnsi="Times New Roman" w:cs="Times New Roman"/>
          <w:sz w:val="20"/>
          <w:szCs w:val="20"/>
        </w:rPr>
        <w:t>mBar</w:t>
      </w:r>
      <w:proofErr w:type="spellEnd"/>
      <w:r>
        <w:rPr>
          <w:rFonts w:ascii="Times New Roman" w:eastAsia="Times New Roman" w:hAnsi="Times New Roman" w:cs="Times New Roman"/>
          <w:sz w:val="20"/>
          <w:szCs w:val="20"/>
        </w:rPr>
        <w:t>) was converted to water depth (m)</w:t>
      </w:r>
      <w:r>
        <w:t xml:space="preserve"> </w:t>
      </w:r>
      <w:r>
        <w:rPr>
          <w:rFonts w:ascii="Times New Roman" w:eastAsia="Times New Roman" w:hAnsi="Times New Roman" w:cs="Times New Roman"/>
          <w:sz w:val="20"/>
          <w:szCs w:val="20"/>
        </w:rPr>
        <w:t xml:space="preserve">as water depth = (pressure – atmospheric pressure)/100.45. Atmospheric pressure is estimated as the mode of the pressure data (around 1000 </w:t>
      </w:r>
      <w:proofErr w:type="spellStart"/>
      <w:r>
        <w:rPr>
          <w:rFonts w:ascii="Times New Roman" w:eastAsia="Times New Roman" w:hAnsi="Times New Roman" w:cs="Times New Roman"/>
          <w:sz w:val="20"/>
          <w:szCs w:val="20"/>
        </w:rPr>
        <w:t>mBar</w:t>
      </w:r>
      <w:proofErr w:type="spellEnd"/>
      <w:r>
        <w:rPr>
          <w:rFonts w:ascii="Times New Roman" w:eastAsia="Times New Roman" w:hAnsi="Times New Roman" w:cs="Times New Roman"/>
          <w:sz w:val="20"/>
          <w:szCs w:val="20"/>
        </w:rPr>
        <w:t>). The surface line (0m) was visually checked and corrected manually when needed</w:t>
      </w:r>
      <w:r>
        <w:t>.</w:t>
      </w:r>
      <w:r w:rsidR="000B3712">
        <w:t xml:space="preserve"> </w:t>
      </w:r>
      <w:r w:rsidR="000B3712" w:rsidRPr="000B3712">
        <w:rPr>
          <w:rFonts w:ascii="Times New Roman" w:eastAsia="Times New Roman" w:hAnsi="Times New Roman" w:cs="Times New Roman"/>
          <w:sz w:val="20"/>
          <w:szCs w:val="20"/>
        </w:rPr>
        <w:t xml:space="preserve">Dives were defined as the period between the time the birds descended from the water surface and the time when they returned to it. Only dives deeper than 1 m were included due to possible measurement error in instruments and surface waves (Takahashi et al. 2003; Kato et al. 2009). For each dive, different parameters were calculated: dive depth (m) (determined as the deepest point of the dive), total dive </w:t>
      </w:r>
      <w:r w:rsidR="000B3712" w:rsidRPr="000B3712">
        <w:rPr>
          <w:rFonts w:ascii="Times New Roman" w:eastAsia="Times New Roman" w:hAnsi="Times New Roman" w:cs="Times New Roman"/>
          <w:sz w:val="20"/>
          <w:szCs w:val="20"/>
        </w:rPr>
        <w:lastRenderedPageBreak/>
        <w:t xml:space="preserve">duration (s), bottom time duration (s) (start and end of bottom time were defined as the first and last time in a dive when the depth change rate was &lt;0.25 m.s−1) and number of wiggles (number of vertical undulations during the bottom phase, i.e. the point of inflexion in the dive profile). Maximum depth recorded on each trip was also calculated. The grand mean ± SD of these parameters per trip was calculated for each stage and season using the </w:t>
      </w:r>
      <w:r w:rsidR="000B3712" w:rsidRPr="000B3712">
        <w:rPr>
          <w:rFonts w:ascii="Times New Roman" w:eastAsia="Times New Roman" w:hAnsi="Times New Roman" w:cs="Times New Roman"/>
          <w:i/>
          <w:iCs/>
          <w:sz w:val="20"/>
          <w:szCs w:val="20"/>
        </w:rPr>
        <w:t xml:space="preserve">R </w:t>
      </w:r>
      <w:proofErr w:type="spellStart"/>
      <w:r w:rsidR="000B3712" w:rsidRPr="000B3712">
        <w:rPr>
          <w:rFonts w:ascii="Times New Roman" w:eastAsia="Times New Roman" w:hAnsi="Times New Roman" w:cs="Times New Roman"/>
          <w:i/>
          <w:iCs/>
          <w:sz w:val="20"/>
          <w:szCs w:val="20"/>
        </w:rPr>
        <w:t>effectsize</w:t>
      </w:r>
      <w:proofErr w:type="spellEnd"/>
      <w:r w:rsidR="000B3712" w:rsidRPr="000B3712">
        <w:rPr>
          <w:rFonts w:ascii="Times New Roman" w:eastAsia="Times New Roman" w:hAnsi="Times New Roman" w:cs="Times New Roman"/>
          <w:sz w:val="20"/>
          <w:szCs w:val="20"/>
        </w:rPr>
        <w:t xml:space="preserve"> package (Ben-</w:t>
      </w:r>
      <w:proofErr w:type="spellStart"/>
      <w:r w:rsidR="000B3712" w:rsidRPr="000B3712">
        <w:rPr>
          <w:rFonts w:ascii="Times New Roman" w:eastAsia="Times New Roman" w:hAnsi="Times New Roman" w:cs="Times New Roman"/>
          <w:sz w:val="20"/>
          <w:szCs w:val="20"/>
        </w:rPr>
        <w:t>Shachar</w:t>
      </w:r>
      <w:proofErr w:type="spellEnd"/>
      <w:r w:rsidR="000B3712" w:rsidRPr="000B3712">
        <w:rPr>
          <w:rFonts w:ascii="Times New Roman" w:eastAsia="Times New Roman" w:hAnsi="Times New Roman" w:cs="Times New Roman"/>
          <w:sz w:val="20"/>
          <w:szCs w:val="20"/>
        </w:rPr>
        <w:t xml:space="preserve"> et al. 2020).</w:t>
      </w:r>
    </w:p>
    <w:p w14:paraId="00000035" w14:textId="77777777" w:rsidR="00D67D77" w:rsidRDefault="00D67D77">
      <w:pPr>
        <w:spacing w:line="360" w:lineRule="auto"/>
        <w:jc w:val="both"/>
        <w:rPr>
          <w:rFonts w:ascii="Times New Roman" w:eastAsia="Times New Roman" w:hAnsi="Times New Roman" w:cs="Times New Roman"/>
          <w:sz w:val="20"/>
          <w:szCs w:val="20"/>
        </w:rPr>
      </w:pPr>
    </w:p>
    <w:p w14:paraId="00000036" w14:textId="77777777" w:rsidR="00D67D77" w:rsidRPr="00DD6AA1" w:rsidRDefault="00000000">
      <w:pPr>
        <w:spacing w:line="360" w:lineRule="auto"/>
        <w:jc w:val="both"/>
        <w:rPr>
          <w:rFonts w:ascii="Times New Roman" w:eastAsia="Times New Roman" w:hAnsi="Times New Roman" w:cs="Times New Roman"/>
          <w:sz w:val="20"/>
          <w:szCs w:val="20"/>
        </w:rPr>
      </w:pPr>
      <w:bookmarkStart w:id="3" w:name="_heading=h.1fob9te" w:colFirst="0" w:colLast="0"/>
      <w:bookmarkEnd w:id="3"/>
      <w:r>
        <w:rPr>
          <w:rFonts w:ascii="Times New Roman" w:eastAsia="Times New Roman" w:hAnsi="Times New Roman" w:cs="Times New Roman"/>
          <w:sz w:val="20"/>
          <w:szCs w:val="20"/>
        </w:rPr>
        <w:t xml:space="preserve">For each trip we calculated the proportion of trip diving (total time diving divided by trip duration), the proportion of time spent in the bottom phase (total time in bottom diving divided by total time diving), dive frequency (number of dives divided by trip duration) and dive efficiency (total time in bottom diving divided by trip duration). We then matched the dive data with GPS locations, using date and time information. To do this, we allocated a location to each dive by linearly interpolating the timestamp at the beginning of each dive event with the closest GPS locations recorded before and </w:t>
      </w:r>
      <w:r w:rsidRPr="00DD6AA1">
        <w:rPr>
          <w:rFonts w:ascii="Times New Roman" w:eastAsia="Times New Roman" w:hAnsi="Times New Roman" w:cs="Times New Roman"/>
          <w:sz w:val="20"/>
          <w:szCs w:val="20"/>
        </w:rPr>
        <w:t>after the dive (Kokubun et al. 2010). The mean time interval between records of GPS locations was 6.9 ± 0.3 min. We used 500-m resolution bathymetry data obtained from the General Bathymetric Chart of the Oceans (GEBCO Compilation Group 2020).</w:t>
      </w:r>
    </w:p>
    <w:p w14:paraId="00000037" w14:textId="77777777" w:rsidR="00D67D77" w:rsidRDefault="00D67D77">
      <w:pPr>
        <w:spacing w:line="360" w:lineRule="auto"/>
        <w:jc w:val="both"/>
        <w:rPr>
          <w:rFonts w:ascii="Times New Roman" w:eastAsia="Times New Roman" w:hAnsi="Times New Roman" w:cs="Times New Roman"/>
          <w:sz w:val="20"/>
          <w:szCs w:val="20"/>
        </w:rPr>
      </w:pPr>
    </w:p>
    <w:p w14:paraId="00000038" w14:textId="517B8ABA" w:rsidR="00D67D77" w:rsidRDefault="00000000">
      <w:pPr>
        <w:spacing w:line="360" w:lineRule="auto"/>
        <w:jc w:val="both"/>
        <w:rPr>
          <w:rFonts w:ascii="Times New Roman" w:eastAsia="Times New Roman" w:hAnsi="Times New Roman" w:cs="Times New Roman"/>
          <w:sz w:val="20"/>
          <w:szCs w:val="20"/>
        </w:rPr>
      </w:pPr>
      <w:r w:rsidRPr="00DD6AA1">
        <w:rPr>
          <w:rFonts w:ascii="Times New Roman" w:eastAsia="Times New Roman" w:hAnsi="Times New Roman" w:cs="Times New Roman"/>
          <w:sz w:val="20"/>
          <w:szCs w:val="20"/>
        </w:rPr>
        <w:t xml:space="preserve">Finally, for each individual we estimated their utilization distributions (UDs) by calculating fixed kernels using the </w:t>
      </w:r>
      <w:proofErr w:type="spellStart"/>
      <w:r w:rsidRPr="00DD6AA1">
        <w:rPr>
          <w:rFonts w:ascii="Times New Roman" w:eastAsia="Times New Roman" w:hAnsi="Times New Roman" w:cs="Times New Roman"/>
          <w:i/>
          <w:sz w:val="20"/>
          <w:szCs w:val="20"/>
        </w:rPr>
        <w:t>adehabitatHR</w:t>
      </w:r>
      <w:proofErr w:type="spellEnd"/>
      <w:r w:rsidRPr="00DD6AA1">
        <w:rPr>
          <w:rFonts w:ascii="Times New Roman" w:eastAsia="Times New Roman" w:hAnsi="Times New Roman" w:cs="Times New Roman"/>
          <w:sz w:val="20"/>
          <w:szCs w:val="20"/>
        </w:rPr>
        <w:t xml:space="preserve"> package (</w:t>
      </w:r>
      <w:proofErr w:type="spellStart"/>
      <w:r w:rsidRPr="00DD6AA1">
        <w:rPr>
          <w:rFonts w:ascii="Times New Roman" w:eastAsia="Times New Roman" w:hAnsi="Times New Roman" w:cs="Times New Roman"/>
          <w:sz w:val="20"/>
          <w:szCs w:val="20"/>
        </w:rPr>
        <w:t>Calenge</w:t>
      </w:r>
      <w:proofErr w:type="spellEnd"/>
      <w:r w:rsidRPr="00DD6AA1">
        <w:rPr>
          <w:rFonts w:ascii="Times New Roman" w:eastAsia="Times New Roman" w:hAnsi="Times New Roman" w:cs="Times New Roman"/>
          <w:sz w:val="20"/>
          <w:szCs w:val="20"/>
        </w:rPr>
        <w:t xml:space="preserve"> 2006). To calculate h-values, data on all tracks of all individuals monitored during the study period were pooled together. Geographic positions were transformed into stereographic coordinates to calculate the size of UD for different isopleths. We used the ‘ad-hoc’ method (Schuler et al. 2014) to calculate kernels’ bandwidth (h). Initial estimation of the 90% UD was calculated using the reference bandwidth (i.e., the </w:t>
      </w:r>
      <w:proofErr w:type="spellStart"/>
      <w:r w:rsidRPr="00DD6AA1">
        <w:rPr>
          <w:rFonts w:ascii="Times New Roman" w:eastAsia="Times New Roman" w:hAnsi="Times New Roman" w:cs="Times New Roman"/>
          <w:sz w:val="20"/>
          <w:szCs w:val="20"/>
        </w:rPr>
        <w:t>href</w:t>
      </w:r>
      <w:proofErr w:type="spellEnd"/>
      <w:r w:rsidRPr="00DD6AA1">
        <w:rPr>
          <w:rFonts w:ascii="Times New Roman" w:eastAsia="Times New Roman" w:hAnsi="Times New Roman" w:cs="Times New Roman"/>
          <w:sz w:val="20"/>
          <w:szCs w:val="20"/>
        </w:rPr>
        <w:t xml:space="preserve"> value, calculated on the basis of the number and spatial variance of all tracking locations, assuming bivariate normality). A sequence of 90% UDs was then calculated by reducing the h-value by 5% in successive steps, until the 90% contour fractured into two or more polygons. The ad-hoc value </w:t>
      </w:r>
      <w:r>
        <w:rPr>
          <w:rFonts w:ascii="Times New Roman" w:eastAsia="Times New Roman" w:hAnsi="Times New Roman" w:cs="Times New Roman"/>
          <w:sz w:val="20"/>
          <w:szCs w:val="20"/>
        </w:rPr>
        <w:t xml:space="preserve">thus corresponds to the smallest h-value calculated that retains the number of polygons initially calculated using the </w:t>
      </w:r>
      <w:proofErr w:type="spellStart"/>
      <w:r>
        <w:rPr>
          <w:rFonts w:ascii="Times New Roman" w:eastAsia="Times New Roman" w:hAnsi="Times New Roman" w:cs="Times New Roman"/>
          <w:sz w:val="20"/>
          <w:szCs w:val="20"/>
        </w:rPr>
        <w:t>href</w:t>
      </w:r>
      <w:proofErr w:type="spellEnd"/>
      <w:r>
        <w:rPr>
          <w:rFonts w:ascii="Times New Roman" w:eastAsia="Times New Roman" w:hAnsi="Times New Roman" w:cs="Times New Roman"/>
          <w:sz w:val="20"/>
          <w:szCs w:val="20"/>
        </w:rPr>
        <w:t xml:space="preserve"> value.</w:t>
      </w:r>
    </w:p>
    <w:p w14:paraId="00000039" w14:textId="77777777" w:rsidR="00D67D77" w:rsidRDefault="00D67D77">
      <w:pPr>
        <w:spacing w:line="360" w:lineRule="auto"/>
        <w:jc w:val="both"/>
        <w:rPr>
          <w:rFonts w:ascii="Times New Roman" w:eastAsia="Times New Roman" w:hAnsi="Times New Roman" w:cs="Times New Roman"/>
          <w:sz w:val="20"/>
          <w:szCs w:val="20"/>
        </w:rPr>
      </w:pPr>
    </w:p>
    <w:p w14:paraId="0000003A" w14:textId="77777777" w:rsidR="00D67D77" w:rsidRDefault="00000000">
      <w:pPr>
        <w:spacing w:line="360" w:lineRule="auto"/>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Identify key foraging areas</w:t>
      </w:r>
    </w:p>
    <w:p w14:paraId="0000003B" w14:textId="67E283C3" w:rsidR="00D67D77" w:rsidRDefault="00000000">
      <w:pPr>
        <w:spacing w:line="360" w:lineRule="auto"/>
        <w:jc w:val="both"/>
        <w:rPr>
          <w:rFonts w:ascii="Times New Roman" w:eastAsia="Times New Roman" w:hAnsi="Times New Roman" w:cs="Times New Roman"/>
          <w:sz w:val="20"/>
          <w:szCs w:val="20"/>
        </w:rPr>
      </w:pPr>
      <w:r w:rsidRPr="00DD6AA1">
        <w:rPr>
          <w:rFonts w:ascii="Times New Roman" w:eastAsia="Times New Roman" w:hAnsi="Times New Roman" w:cs="Times New Roman"/>
          <w:sz w:val="20"/>
          <w:szCs w:val="20"/>
        </w:rPr>
        <w:t>To identify key foraging areas, we use the approach developed by Chimienti et al. (2016, 2022) for characterizing latent behaviors to determine in which dives penguins are attempting to capture prey. Using this approach, we first identify all dives recorded within each foraging trip in which penguins seem to be attempting to catch prey, and then identify the areas where these dives concentrate, integrating information on all trips and individuals studied throughout the whole study period. As a first step for the analysis, accelerometer data were checked and records subsampled at 25 Hz, following Chimienti et al. (2016)</w:t>
      </w:r>
      <w:r>
        <w:rPr>
          <w:rFonts w:ascii="Times New Roman" w:eastAsia="Times New Roman" w:hAnsi="Times New Roman" w:cs="Times New Roman"/>
          <w:sz w:val="20"/>
          <w:szCs w:val="20"/>
        </w:rPr>
        <w:t>.</w:t>
      </w:r>
      <w:r w:rsidR="00DD6AA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We used the depth data to retain only the data during the underwater activity of each individual.</w:t>
      </w:r>
      <w:r w:rsidR="00DD6AA1">
        <w:rPr>
          <w:rFonts w:ascii="Times New Roman" w:eastAsia="Times New Roman" w:hAnsi="Times New Roman" w:cs="Times New Roman"/>
          <w:sz w:val="20"/>
          <w:szCs w:val="20"/>
        </w:rPr>
        <w:t xml:space="preserve"> O</w:t>
      </w:r>
      <w:r>
        <w:rPr>
          <w:rFonts w:ascii="Times New Roman" w:eastAsia="Times New Roman" w:hAnsi="Times New Roman" w:cs="Times New Roman"/>
          <w:sz w:val="20"/>
          <w:szCs w:val="20"/>
        </w:rPr>
        <w:t xml:space="preserve">nly dives deeper than 2 m were considered, to avoid measurement errors and behaviors at the sea surface that do not correspond to foraging activities (foraging vs commuting). We then used Chimienti et al. (2016, 2022) method for analyzing accelerometry data to automatically identify behavioral modes and individual behaviors, in species moving in two or three dimensions. The method uses the unsupervised machine learning algorithm Expectation Maximization to find maximum likelihood solutions for mixture models with latent variables, and was implemented using the R package </w:t>
      </w:r>
      <w:proofErr w:type="spellStart"/>
      <w:r>
        <w:rPr>
          <w:rFonts w:ascii="Times New Roman" w:eastAsia="Times New Roman" w:hAnsi="Times New Roman" w:cs="Times New Roman"/>
          <w:i/>
          <w:sz w:val="20"/>
          <w:szCs w:val="20"/>
        </w:rPr>
        <w:t>RMixmod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Biernacki</w:t>
      </w:r>
      <w:proofErr w:type="spellEnd"/>
      <w:r>
        <w:rPr>
          <w:rFonts w:ascii="Times New Roman" w:eastAsia="Times New Roman" w:hAnsi="Times New Roman" w:cs="Times New Roman"/>
          <w:sz w:val="20"/>
          <w:szCs w:val="20"/>
        </w:rPr>
        <w:t xml:space="preserve"> et al. 2006). Based on the input variables, the model automatically defines clusters without a priori information. The model is tested with different numbers of clusters (from three to eight for the diving part in Chimienti et al. 2022). For the specific case </w:t>
      </w:r>
      <w:r>
        <w:rPr>
          <w:rFonts w:ascii="Times New Roman" w:eastAsia="Times New Roman" w:hAnsi="Times New Roman" w:cs="Times New Roman"/>
          <w:sz w:val="20"/>
          <w:szCs w:val="20"/>
        </w:rPr>
        <w:lastRenderedPageBreak/>
        <w:t xml:space="preserve">of the Adélie penguins, the optimal number of clusters was four, and was selected as a compromise between ecological meaning of these clusters and model performance (see Chimienti et al. 2022). The ecological meaning of each cluster is inferred by the researcher based on the knowledge of the study species and by visualizing the results of each run. These were: descending phase, deep searching phase, chasing/catching events and ascending phase. As the depth data used to describe the dive profiles were recorded every 1 second, we classified each depth record as corresponding to either a capture attempt or not, based on whether more than 50% of the accelerometer records within that second were classified as chasing/catching events by the model, or not. We then used that information to classify dives as either foraging dives (i.e., where penguins were attempting to capture prey), or not. We aimed to discriminate foraging dives from dives where animals are not hunting, or where the scarce numbers of capture attempts rather reflect casual encounters with prey. We defined foraging dives as those where at least 5 seconds of the diving cycle were classified as capture attempts. The 5 seconds criterion is an arbitrary limit chosen as a rough proxy of the mean number of </w:t>
      </w:r>
      <w:proofErr w:type="spellStart"/>
      <w:r>
        <w:rPr>
          <w:rFonts w:ascii="Times New Roman" w:eastAsia="Times New Roman" w:hAnsi="Times New Roman" w:cs="Times New Roman"/>
          <w:sz w:val="20"/>
          <w:szCs w:val="20"/>
        </w:rPr>
        <w:t>krills</w:t>
      </w:r>
      <w:proofErr w:type="spellEnd"/>
      <w:r>
        <w:rPr>
          <w:rFonts w:ascii="Times New Roman" w:eastAsia="Times New Roman" w:hAnsi="Times New Roman" w:cs="Times New Roman"/>
          <w:sz w:val="20"/>
          <w:szCs w:val="20"/>
        </w:rPr>
        <w:t xml:space="preserve"> that have to be captured by penguins in foraging dives, to fulfill daily energetic demands. The reasoning supporting this value is as follows: breeding Adélie penguins require approximately 800-1200 grams of krill daily (Watanabe et al. 2013; Warwick-Evans et al. 2022), they capture 300-400 grams of krill in each foraging trip (Watanabe et al. 2013; </w:t>
      </w:r>
      <w:proofErr w:type="spellStart"/>
      <w:r>
        <w:rPr>
          <w:rFonts w:ascii="Times New Roman" w:eastAsia="Times New Roman" w:hAnsi="Times New Roman" w:cs="Times New Roman"/>
          <w:sz w:val="20"/>
          <w:szCs w:val="20"/>
        </w:rPr>
        <w:t>Juáres</w:t>
      </w:r>
      <w:proofErr w:type="spellEnd"/>
      <w:r>
        <w:rPr>
          <w:rFonts w:ascii="Times New Roman" w:eastAsia="Times New Roman" w:hAnsi="Times New Roman" w:cs="Times New Roman"/>
          <w:sz w:val="20"/>
          <w:szCs w:val="20"/>
        </w:rPr>
        <w:t xml:space="preserve"> et al. 2018), individual krill weight is close to 0.4 g on average (Watanabe et al. 2013; </w:t>
      </w:r>
      <w:proofErr w:type="spellStart"/>
      <w:r>
        <w:rPr>
          <w:rFonts w:ascii="Times New Roman" w:eastAsia="Times New Roman" w:hAnsi="Times New Roman" w:cs="Times New Roman"/>
          <w:sz w:val="20"/>
          <w:szCs w:val="20"/>
        </w:rPr>
        <w:t>Juáres</w:t>
      </w:r>
      <w:proofErr w:type="spellEnd"/>
      <w:r>
        <w:rPr>
          <w:rFonts w:ascii="Times New Roman" w:eastAsia="Times New Roman" w:hAnsi="Times New Roman" w:cs="Times New Roman"/>
          <w:sz w:val="20"/>
          <w:szCs w:val="20"/>
        </w:rPr>
        <w:t xml:space="preserve"> et al. 2018), Adélie penguins have been observed to capture up to two krill per second in swarms (Watanabe et al. 2013), and our data suggest that in our study area foraging trips last 8-22 </w:t>
      </w:r>
      <w:proofErr w:type="spellStart"/>
      <w:r>
        <w:rPr>
          <w:rFonts w:ascii="Times New Roman" w:eastAsia="Times New Roman" w:hAnsi="Times New Roman" w:cs="Times New Roman"/>
          <w:sz w:val="20"/>
          <w:szCs w:val="20"/>
        </w:rPr>
        <w:t>hs</w:t>
      </w:r>
      <w:proofErr w:type="spellEnd"/>
      <w:r>
        <w:rPr>
          <w:rFonts w:ascii="Times New Roman" w:eastAsia="Times New Roman" w:hAnsi="Times New Roman" w:cs="Times New Roman"/>
          <w:sz w:val="20"/>
          <w:szCs w:val="20"/>
        </w:rPr>
        <w:t xml:space="preserve">, diving frequency is close to 30 dives hour-1, and in roughly 50% of the dives penguins do not attempt to capture prey. This suggests that in all other dives individuals need to devote on average at least 2 to 5 </w:t>
      </w:r>
      <w:r w:rsidRPr="00DD6AA1">
        <w:rPr>
          <w:rFonts w:ascii="Times New Roman" w:eastAsia="Times New Roman" w:hAnsi="Times New Roman" w:cs="Times New Roman"/>
          <w:sz w:val="20"/>
          <w:szCs w:val="20"/>
        </w:rPr>
        <w:t xml:space="preserve">seconds of the dive to food ingestion, if </w:t>
      </w:r>
      <w:r>
        <w:rPr>
          <w:rFonts w:ascii="Times New Roman" w:eastAsia="Times New Roman" w:hAnsi="Times New Roman" w:cs="Times New Roman"/>
          <w:sz w:val="20"/>
          <w:szCs w:val="20"/>
        </w:rPr>
        <w:t>energetic demands are to be met at the end of the day. We thus consider foraging areas as those that concentrate dives that have a potential significant contribution to individuals’ energetic demands (i.e., dives where at least 5 seconds of the diving cycle were classified as capture attempts).</w:t>
      </w:r>
    </w:p>
    <w:p w14:paraId="0000003C" w14:textId="77777777" w:rsidR="00D67D77" w:rsidRDefault="00D67D77">
      <w:pPr>
        <w:spacing w:line="360" w:lineRule="auto"/>
        <w:jc w:val="both"/>
        <w:rPr>
          <w:rFonts w:ascii="Times New Roman" w:eastAsia="Times New Roman" w:hAnsi="Times New Roman" w:cs="Times New Roman"/>
          <w:sz w:val="20"/>
          <w:szCs w:val="20"/>
        </w:rPr>
      </w:pPr>
    </w:p>
    <w:p w14:paraId="0000003D"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For foraging dives the following parameters were determined: dive duration, dive depth, bottom time duration, number of wiggles, foraging frequency (number of dives with at least 5 capture attempts divided by trip duration), and maximum depth recorded per trip. Values per stage and season are presented as grand mean ± SD, and were calculated as described before.</w:t>
      </w:r>
    </w:p>
    <w:p w14:paraId="0000003E" w14:textId="77777777" w:rsidR="00D67D77" w:rsidRPr="00DD6AA1" w:rsidRDefault="00D67D77">
      <w:pPr>
        <w:spacing w:line="360" w:lineRule="auto"/>
        <w:jc w:val="both"/>
        <w:rPr>
          <w:rFonts w:ascii="Times New Roman" w:eastAsia="Times New Roman" w:hAnsi="Times New Roman" w:cs="Times New Roman"/>
          <w:sz w:val="20"/>
          <w:szCs w:val="20"/>
        </w:rPr>
      </w:pPr>
    </w:p>
    <w:p w14:paraId="0000003F" w14:textId="77777777" w:rsidR="00D67D77" w:rsidRDefault="00000000">
      <w:pPr>
        <w:spacing w:line="360" w:lineRule="auto"/>
        <w:jc w:val="both"/>
        <w:rPr>
          <w:rFonts w:ascii="Times New Roman" w:eastAsia="Times New Roman" w:hAnsi="Times New Roman" w:cs="Times New Roman"/>
          <w:sz w:val="20"/>
          <w:szCs w:val="20"/>
        </w:rPr>
      </w:pPr>
      <w:r w:rsidRPr="00DD6AA1">
        <w:rPr>
          <w:rFonts w:ascii="Times New Roman" w:eastAsia="Times New Roman" w:hAnsi="Times New Roman" w:cs="Times New Roman"/>
          <w:sz w:val="20"/>
          <w:szCs w:val="20"/>
        </w:rPr>
        <w:t xml:space="preserve">To identify foraging areas we used the </w:t>
      </w:r>
      <w:r w:rsidRPr="00DD6AA1">
        <w:rPr>
          <w:rFonts w:ascii="Times New Roman" w:eastAsia="Times New Roman" w:hAnsi="Times New Roman" w:cs="Times New Roman"/>
          <w:i/>
          <w:sz w:val="20"/>
          <w:szCs w:val="20"/>
        </w:rPr>
        <w:t>track2KBA</w:t>
      </w:r>
      <w:r w:rsidRPr="00DD6AA1">
        <w:rPr>
          <w:rFonts w:ascii="Times New Roman" w:eastAsia="Times New Roman" w:hAnsi="Times New Roman" w:cs="Times New Roman"/>
          <w:sz w:val="20"/>
          <w:szCs w:val="20"/>
        </w:rPr>
        <w:t xml:space="preserve"> package (Beal et al. 2021) for R. Only positions of foraging dives that met the criterion established in the previous step </w:t>
      </w:r>
      <w:r>
        <w:rPr>
          <w:rFonts w:ascii="Times New Roman" w:eastAsia="Times New Roman" w:hAnsi="Times New Roman" w:cs="Times New Roman"/>
          <w:sz w:val="20"/>
          <w:szCs w:val="20"/>
        </w:rPr>
        <w:t>were included in the analyses (Fig. S3 shows negligible changes in these areas when more restrictive values are used to define foraging dives). For each individual, the 50% isopleth of the UDs were calculated with the h-value calculated using the ad-hoc method described before. To identify foraging areas for the colony, individual UDs overlap was estimated for the whole study period using the package’s '</w:t>
      </w:r>
      <w:proofErr w:type="spellStart"/>
      <w:r>
        <w:rPr>
          <w:rFonts w:ascii="Times New Roman" w:eastAsia="Times New Roman" w:hAnsi="Times New Roman" w:cs="Times New Roman"/>
          <w:sz w:val="20"/>
          <w:szCs w:val="20"/>
        </w:rPr>
        <w:t>findSite</w:t>
      </w:r>
      <w:proofErr w:type="spellEnd"/>
      <w:r>
        <w:rPr>
          <w:rFonts w:ascii="Times New Roman" w:eastAsia="Times New Roman" w:hAnsi="Times New Roman" w:cs="Times New Roman"/>
          <w:sz w:val="20"/>
          <w:szCs w:val="20"/>
        </w:rPr>
        <w:t xml:space="preserve">' function. Following Beal et al. (2021), for each 0.16 km2 cell of the study area we calculated the percentage of individuals using that cell (i.e., cells used by an individual are those included within the individuals’ 50% isopleth). We estimated the representativeness of our samples with respect to the colony using the function </w:t>
      </w:r>
      <w:proofErr w:type="spellStart"/>
      <w:r>
        <w:rPr>
          <w:rFonts w:ascii="Times New Roman" w:eastAsia="Times New Roman" w:hAnsi="Times New Roman" w:cs="Times New Roman"/>
          <w:sz w:val="20"/>
          <w:szCs w:val="20"/>
        </w:rPr>
        <w:t>repAssess</w:t>
      </w:r>
      <w:proofErr w:type="spellEnd"/>
      <w:r>
        <w:rPr>
          <w:rFonts w:ascii="Times New Roman" w:eastAsia="Times New Roman" w:hAnsi="Times New Roman" w:cs="Times New Roman"/>
          <w:sz w:val="20"/>
          <w:szCs w:val="20"/>
        </w:rPr>
        <w:t xml:space="preserve">. The function iteratively selects sub-samples of individual tracks, averages them into a pooled UD and outlines a desired quantile, and then calculates the proportion of out-of-sample tracking locations within the resulting area (i.e., the ‘inclusion rate’). This proportion approximates the specified UD quantile when </w:t>
      </w:r>
      <w:r>
        <w:rPr>
          <w:rFonts w:ascii="Times New Roman" w:eastAsia="Times New Roman" w:hAnsi="Times New Roman" w:cs="Times New Roman"/>
          <w:sz w:val="20"/>
          <w:szCs w:val="20"/>
        </w:rPr>
        <w:lastRenderedPageBreak/>
        <w:t>the tracked sample is fully representative (see Beal et al., 2021 supporting information for further details). Representativeness values were estimated after 100 iterations.</w:t>
      </w:r>
    </w:p>
    <w:p w14:paraId="00000040" w14:textId="77777777" w:rsidR="00D67D77" w:rsidRDefault="00D67D77">
      <w:pPr>
        <w:spacing w:line="360" w:lineRule="auto"/>
        <w:jc w:val="both"/>
        <w:rPr>
          <w:rFonts w:ascii="Times New Roman" w:eastAsia="Times New Roman" w:hAnsi="Times New Roman" w:cs="Times New Roman"/>
          <w:sz w:val="20"/>
          <w:szCs w:val="20"/>
        </w:rPr>
      </w:pPr>
    </w:p>
    <w:p w14:paraId="00000041" w14:textId="77777777" w:rsidR="00D67D77" w:rsidRDefault="00000000">
      <w:pPr>
        <w:spacing w:line="360" w:lineRule="auto"/>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Statistical analyses</w:t>
      </w:r>
    </w:p>
    <w:p w14:paraId="00000042" w14:textId="77777777" w:rsidR="00D67D77" w:rsidRPr="00DD6AA1"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 test for differences between stages and seasons in the foraging parameters analyzed we used different statistical models, to account for differences in the response variables and their effects on models assumptions. In each model, the season (early 19/20, early 21/22, late 20/21, late 21/22) or stage (early, late) was considered as an independent factorial variable and the individual (ID) as a random effect to account for repeated measures of the same </w:t>
      </w:r>
      <w:r w:rsidRPr="00DD6AA1">
        <w:rPr>
          <w:rFonts w:ascii="Times New Roman" w:eastAsia="Times New Roman" w:hAnsi="Times New Roman" w:cs="Times New Roman"/>
          <w:sz w:val="20"/>
          <w:szCs w:val="20"/>
        </w:rPr>
        <w:t xml:space="preserve">individual. Season is a combination of year and stage, as it was not possible to sample in both stages during the three breeding seasons as e.g., COVID restrictions precluded early arrival to the study area in 2020. For each model, a residual analysis was performed to test the homoscedasticity and normality of the residuals. When these did not meet models’ assumptions, a different model was selected. When significant differences between stages or seasons were detected, we performed Tukey's post hoc tests using the </w:t>
      </w:r>
      <w:proofErr w:type="spellStart"/>
      <w:r w:rsidRPr="00DD6AA1">
        <w:rPr>
          <w:rFonts w:ascii="Times New Roman" w:eastAsia="Times New Roman" w:hAnsi="Times New Roman" w:cs="Times New Roman"/>
          <w:i/>
          <w:sz w:val="20"/>
          <w:szCs w:val="20"/>
        </w:rPr>
        <w:t>multcomp</w:t>
      </w:r>
      <w:proofErr w:type="spellEnd"/>
      <w:r w:rsidRPr="00DD6AA1">
        <w:rPr>
          <w:rFonts w:ascii="Times New Roman" w:eastAsia="Times New Roman" w:hAnsi="Times New Roman" w:cs="Times New Roman"/>
          <w:i/>
          <w:sz w:val="20"/>
          <w:szCs w:val="20"/>
        </w:rPr>
        <w:t xml:space="preserve"> </w:t>
      </w:r>
      <w:r w:rsidRPr="00DD6AA1">
        <w:rPr>
          <w:rFonts w:ascii="Times New Roman" w:eastAsia="Times New Roman" w:hAnsi="Times New Roman" w:cs="Times New Roman"/>
          <w:sz w:val="20"/>
          <w:szCs w:val="20"/>
        </w:rPr>
        <w:t>package (</w:t>
      </w:r>
      <w:proofErr w:type="spellStart"/>
      <w:r w:rsidRPr="00DD6AA1">
        <w:rPr>
          <w:rFonts w:ascii="Times New Roman" w:eastAsia="Times New Roman" w:hAnsi="Times New Roman" w:cs="Times New Roman"/>
          <w:sz w:val="20"/>
          <w:szCs w:val="20"/>
        </w:rPr>
        <w:t>Hothorn</w:t>
      </w:r>
      <w:proofErr w:type="spellEnd"/>
      <w:r w:rsidRPr="00DD6AA1">
        <w:rPr>
          <w:rFonts w:ascii="Times New Roman" w:eastAsia="Times New Roman" w:hAnsi="Times New Roman" w:cs="Times New Roman"/>
          <w:sz w:val="20"/>
          <w:szCs w:val="20"/>
        </w:rPr>
        <w:t xml:space="preserve"> et al. 2008).</w:t>
      </w:r>
    </w:p>
    <w:p w14:paraId="00000043" w14:textId="77777777" w:rsidR="00D67D77" w:rsidRDefault="00D67D77">
      <w:pPr>
        <w:spacing w:line="360" w:lineRule="auto"/>
        <w:jc w:val="both"/>
        <w:rPr>
          <w:rFonts w:ascii="Times New Roman" w:eastAsia="Times New Roman" w:hAnsi="Times New Roman" w:cs="Times New Roman"/>
          <w:sz w:val="20"/>
          <w:szCs w:val="20"/>
        </w:rPr>
      </w:pPr>
    </w:p>
    <w:p w14:paraId="00000044"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 the only continuous response variable with normal distribution (maximum depth) we used linear mixed models (LMM) implemented in the R package </w:t>
      </w:r>
      <w:r>
        <w:rPr>
          <w:rFonts w:ascii="Times New Roman" w:eastAsia="Times New Roman" w:hAnsi="Times New Roman" w:cs="Times New Roman"/>
          <w:i/>
          <w:sz w:val="20"/>
          <w:szCs w:val="20"/>
        </w:rPr>
        <w:t>lme4</w:t>
      </w:r>
      <w:r>
        <w:rPr>
          <w:rFonts w:ascii="Times New Roman" w:eastAsia="Times New Roman" w:hAnsi="Times New Roman" w:cs="Times New Roman"/>
          <w:sz w:val="20"/>
          <w:szCs w:val="20"/>
        </w:rPr>
        <w:t xml:space="preserve"> (Bates et al. 2015). Continuous response variables that did not present a normal distribution (trip duration, maximum distance from colony, total distance traveled and dive frequency) were log-transformed. For the response variables that did not fit a normal distribution due to a high number of observations with low values (dive duration, depth and bottom time), we compared between seasons and stages using generalized linear mixed models (GLMM</w:t>
      </w:r>
      <w:r>
        <w:t>)</w:t>
      </w:r>
      <w:r>
        <w:rPr>
          <w:rFonts w:ascii="Times New Roman" w:eastAsia="Times New Roman" w:hAnsi="Times New Roman" w:cs="Times New Roman"/>
          <w:sz w:val="20"/>
          <w:szCs w:val="20"/>
        </w:rPr>
        <w:t xml:space="preserve"> using the Tweedie distribution family (with the index of power variance function selected according to response variable distribution) and a log-link function (Faster and </w:t>
      </w:r>
      <w:proofErr w:type="spellStart"/>
      <w:r>
        <w:rPr>
          <w:rFonts w:ascii="Times New Roman" w:eastAsia="Times New Roman" w:hAnsi="Times New Roman" w:cs="Times New Roman"/>
          <w:sz w:val="20"/>
          <w:szCs w:val="20"/>
        </w:rPr>
        <w:t>Bravington</w:t>
      </w:r>
      <w:proofErr w:type="spellEnd"/>
      <w:r>
        <w:rPr>
          <w:rFonts w:ascii="Times New Roman" w:eastAsia="Times New Roman" w:hAnsi="Times New Roman" w:cs="Times New Roman"/>
          <w:sz w:val="20"/>
          <w:szCs w:val="20"/>
        </w:rPr>
        <w:t xml:space="preserve"> 2013), implemented in the</w:t>
      </w:r>
      <w:r>
        <w:rPr>
          <w:rFonts w:ascii="Times New Roman" w:eastAsia="Times New Roman" w:hAnsi="Times New Roman" w:cs="Times New Roman"/>
          <w:i/>
          <w:sz w:val="20"/>
          <w:szCs w:val="20"/>
        </w:rPr>
        <w:t xml:space="preserve"> lme4 </w:t>
      </w:r>
      <w:r>
        <w:rPr>
          <w:rFonts w:ascii="Times New Roman" w:eastAsia="Times New Roman" w:hAnsi="Times New Roman" w:cs="Times New Roman"/>
          <w:sz w:val="20"/>
          <w:szCs w:val="20"/>
        </w:rPr>
        <w:t xml:space="preserve">and </w:t>
      </w:r>
      <w:proofErr w:type="spellStart"/>
      <w:r>
        <w:rPr>
          <w:rFonts w:ascii="Times New Roman" w:eastAsia="Times New Roman" w:hAnsi="Times New Roman" w:cs="Times New Roman"/>
          <w:i/>
          <w:sz w:val="20"/>
          <w:szCs w:val="20"/>
        </w:rPr>
        <w:t>statmod</w:t>
      </w:r>
      <w:proofErr w:type="spellEnd"/>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 xml:space="preserve">packages. For continuous proportion variables (proportion of bottom time, proportion of trip diving and dive efficiency) we used GLMM with the beta binomial distribution family and for the count response variable (number of wiggles) we used GLMM with negative binomial distribution because of overdispersion, using the </w:t>
      </w:r>
      <w:proofErr w:type="spellStart"/>
      <w:r>
        <w:rPr>
          <w:rFonts w:ascii="Times New Roman" w:eastAsia="Times New Roman" w:hAnsi="Times New Roman" w:cs="Times New Roman"/>
          <w:i/>
          <w:sz w:val="20"/>
          <w:szCs w:val="20"/>
        </w:rPr>
        <w:t>glmmTMB</w:t>
      </w:r>
      <w:proofErr w:type="spellEnd"/>
      <w:r>
        <w:rPr>
          <w:rFonts w:ascii="Times New Roman" w:eastAsia="Times New Roman" w:hAnsi="Times New Roman" w:cs="Times New Roman"/>
          <w:sz w:val="20"/>
          <w:szCs w:val="20"/>
        </w:rPr>
        <w:t xml:space="preserve"> package (Brooks et al. 2017). In addition, we compared differences in home range area (km2) at 95%, 90%, and 50% isopleths using Analyses of Variance (ANOVA). </w:t>
      </w:r>
    </w:p>
    <w:p w14:paraId="00000045" w14:textId="77777777" w:rsidR="00D67D77" w:rsidRDefault="00D67D77">
      <w:pPr>
        <w:spacing w:line="360" w:lineRule="auto"/>
        <w:jc w:val="both"/>
        <w:rPr>
          <w:rFonts w:ascii="Times New Roman" w:eastAsia="Times New Roman" w:hAnsi="Times New Roman" w:cs="Times New Roman"/>
          <w:sz w:val="20"/>
          <w:szCs w:val="20"/>
        </w:rPr>
      </w:pPr>
    </w:p>
    <w:p w14:paraId="00000046"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For foraging dives we also made comparisons between stage and season. The variables dive duration, depth (log transformed), maximum depth, bottom time and foraging frequency were modeled using LMM and the number of wiggles through a GLMM with negative binomial distribution. In all cases, the season or stage was considered as an independent variable and the individual as a random effect. In all the analyses, when significant differences occurred between seasons, Tukey's post-hoc tests were performed using the '</w:t>
      </w:r>
      <w:proofErr w:type="spellStart"/>
      <w:r>
        <w:rPr>
          <w:rFonts w:ascii="Times New Roman" w:eastAsia="Times New Roman" w:hAnsi="Times New Roman" w:cs="Times New Roman"/>
          <w:sz w:val="20"/>
          <w:szCs w:val="20"/>
        </w:rPr>
        <w:t>glht</w:t>
      </w:r>
      <w:proofErr w:type="spellEnd"/>
      <w:r>
        <w:rPr>
          <w:rFonts w:ascii="Times New Roman" w:eastAsia="Times New Roman" w:hAnsi="Times New Roman" w:cs="Times New Roman"/>
          <w:sz w:val="20"/>
          <w:szCs w:val="20"/>
        </w:rPr>
        <w:t xml:space="preserve">' function from the </w:t>
      </w:r>
      <w:proofErr w:type="spellStart"/>
      <w:r>
        <w:rPr>
          <w:rFonts w:ascii="Times New Roman" w:eastAsia="Times New Roman" w:hAnsi="Times New Roman" w:cs="Times New Roman"/>
          <w:i/>
          <w:sz w:val="20"/>
          <w:szCs w:val="20"/>
        </w:rPr>
        <w:t>multcomp</w:t>
      </w:r>
      <w:proofErr w:type="spellEnd"/>
      <w:r>
        <w:rPr>
          <w:rFonts w:ascii="Times New Roman" w:eastAsia="Times New Roman" w:hAnsi="Times New Roman" w:cs="Times New Roman"/>
          <w:sz w:val="20"/>
          <w:szCs w:val="20"/>
        </w:rPr>
        <w:t xml:space="preserve"> package (</w:t>
      </w:r>
      <w:proofErr w:type="spellStart"/>
      <w:r>
        <w:rPr>
          <w:rFonts w:ascii="Times New Roman" w:eastAsia="Times New Roman" w:hAnsi="Times New Roman" w:cs="Times New Roman"/>
          <w:sz w:val="20"/>
          <w:szCs w:val="20"/>
        </w:rPr>
        <w:t>Hothor</w:t>
      </w:r>
      <w:proofErr w:type="spellEnd"/>
      <w:r>
        <w:rPr>
          <w:rFonts w:ascii="Times New Roman" w:eastAsia="Times New Roman" w:hAnsi="Times New Roman" w:cs="Times New Roman"/>
          <w:sz w:val="20"/>
          <w:szCs w:val="20"/>
        </w:rPr>
        <w:t xml:space="preserve"> et al. 2008), in order to assess whether differences were observed within stages.</w:t>
      </w:r>
    </w:p>
    <w:p w14:paraId="00000047" w14:textId="77777777" w:rsidR="00D67D77" w:rsidRDefault="00D67D77">
      <w:pPr>
        <w:spacing w:line="360" w:lineRule="auto"/>
        <w:jc w:val="both"/>
        <w:rPr>
          <w:rFonts w:ascii="Times New Roman" w:eastAsia="Times New Roman" w:hAnsi="Times New Roman" w:cs="Times New Roman"/>
          <w:sz w:val="20"/>
          <w:szCs w:val="20"/>
        </w:rPr>
      </w:pPr>
    </w:p>
    <w:p w14:paraId="00000048" w14:textId="77777777" w:rsidR="00D67D77" w:rsidRDefault="00000000">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RESULTS</w:t>
      </w:r>
    </w:p>
    <w:p w14:paraId="1C450CC6" w14:textId="42544EB6" w:rsidR="005E3459" w:rsidRPr="00DD6AA1" w:rsidRDefault="00000000" w:rsidP="005E3459">
      <w:pPr>
        <w:spacing w:line="360" w:lineRule="auto"/>
        <w:jc w:val="both"/>
        <w:rPr>
          <w:rFonts w:ascii="Times New Roman" w:eastAsia="Times New Roman" w:hAnsi="Times New Roman" w:cs="Times New Roman"/>
          <w:sz w:val="20"/>
          <w:szCs w:val="20"/>
        </w:rPr>
      </w:pPr>
      <w:r w:rsidRPr="004A587E">
        <w:rPr>
          <w:rFonts w:ascii="Times New Roman" w:eastAsia="Times New Roman" w:hAnsi="Times New Roman" w:cs="Times New Roman"/>
          <w:sz w:val="20"/>
          <w:szCs w:val="20"/>
        </w:rPr>
        <w:t xml:space="preserve">Tracking data from 57 individual birds from Ardley Island over three breeding seasons, provided information on 205 foraging trips, 106 482 dives, and 45 179 foraging dives with at least five capture attempts (Tables 1, 2 and </w:t>
      </w:r>
      <w:r w:rsidRPr="00DD6AA1">
        <w:rPr>
          <w:rFonts w:ascii="Times New Roman" w:eastAsia="Times New Roman" w:hAnsi="Times New Roman" w:cs="Times New Roman"/>
          <w:sz w:val="20"/>
          <w:szCs w:val="20"/>
        </w:rPr>
        <w:t xml:space="preserve">Table S1). We found significant differences in foraging trip characteristics as the season progressed. During the late guard </w:t>
      </w:r>
      <w:r w:rsidR="00C20E52" w:rsidRPr="00DD6AA1">
        <w:rPr>
          <w:rFonts w:ascii="Times New Roman" w:eastAsia="Times New Roman" w:hAnsi="Times New Roman" w:cs="Times New Roman"/>
          <w:sz w:val="20"/>
          <w:szCs w:val="20"/>
        </w:rPr>
        <w:t>trips lasted longer</w:t>
      </w:r>
      <w:r w:rsidR="00DF5CA9" w:rsidRPr="00DD6AA1">
        <w:rPr>
          <w:rFonts w:ascii="Times New Roman" w:eastAsia="Times New Roman" w:hAnsi="Times New Roman" w:cs="Times New Roman"/>
          <w:sz w:val="20"/>
          <w:szCs w:val="20"/>
        </w:rPr>
        <w:t xml:space="preserve"> than during early guard</w:t>
      </w:r>
      <w:r w:rsidR="00C20E52" w:rsidRPr="00DD6AA1">
        <w:rPr>
          <w:rFonts w:ascii="Times New Roman" w:eastAsia="Times New Roman" w:hAnsi="Times New Roman" w:cs="Times New Roman"/>
          <w:sz w:val="20"/>
          <w:szCs w:val="20"/>
        </w:rPr>
        <w:t xml:space="preserve"> </w:t>
      </w:r>
      <w:r w:rsidR="00DF5CA9" w:rsidRPr="00DD6AA1">
        <w:rPr>
          <w:rFonts w:ascii="Times New Roman" w:eastAsia="Times New Roman" w:hAnsi="Times New Roman" w:cs="Times New Roman"/>
          <w:sz w:val="20"/>
          <w:szCs w:val="20"/>
        </w:rPr>
        <w:t>(</w:t>
      </w:r>
      <w:r w:rsidR="00D61B5E" w:rsidRPr="00DD6AA1">
        <w:rPr>
          <w:rFonts w:ascii="Times New Roman" w:eastAsia="Times New Roman" w:hAnsi="Times New Roman" w:cs="Times New Roman"/>
          <w:sz w:val="20"/>
          <w:szCs w:val="20"/>
        </w:rPr>
        <w:t xml:space="preserve">10.99 ± 0.07 h vs. </w:t>
      </w:r>
      <w:r w:rsidR="00DF5CA9" w:rsidRPr="00DD6AA1">
        <w:rPr>
          <w:rFonts w:ascii="Times New Roman" w:eastAsia="Times New Roman" w:hAnsi="Times New Roman" w:cs="Times New Roman"/>
          <w:sz w:val="20"/>
          <w:szCs w:val="20"/>
        </w:rPr>
        <w:t xml:space="preserve">19.28 ± 0.09 </w:t>
      </w:r>
      <w:r w:rsidR="00D61B5E" w:rsidRPr="00DD6AA1">
        <w:rPr>
          <w:rFonts w:ascii="Times New Roman" w:eastAsia="Times New Roman" w:hAnsi="Times New Roman" w:cs="Times New Roman"/>
          <w:sz w:val="20"/>
          <w:szCs w:val="20"/>
        </w:rPr>
        <w:t>h</w:t>
      </w:r>
      <w:r w:rsidR="00DF5CA9" w:rsidRPr="00DD6AA1">
        <w:rPr>
          <w:rFonts w:ascii="Times New Roman" w:eastAsia="Times New Roman" w:hAnsi="Times New Roman" w:cs="Times New Roman"/>
          <w:sz w:val="20"/>
          <w:szCs w:val="20"/>
        </w:rPr>
        <w:t xml:space="preserve">; </w:t>
      </w:r>
      <w:r w:rsidRPr="00DD6AA1">
        <w:rPr>
          <w:rFonts w:ascii="Times New Roman" w:eastAsia="Times New Roman" w:hAnsi="Times New Roman" w:cs="Times New Roman"/>
          <w:sz w:val="20"/>
          <w:szCs w:val="20"/>
        </w:rPr>
        <w:t>LMM, F=24.38; p&lt;0.001</w:t>
      </w:r>
      <w:r w:rsidR="004E7470" w:rsidRPr="00DD6AA1">
        <w:rPr>
          <w:rFonts w:ascii="Times New Roman" w:eastAsia="Times New Roman" w:hAnsi="Times New Roman" w:cs="Times New Roman"/>
          <w:sz w:val="20"/>
          <w:szCs w:val="20"/>
        </w:rPr>
        <w:t xml:space="preserve">; </w:t>
      </w:r>
      <w:r w:rsidR="004E7470" w:rsidRPr="00DD6AA1">
        <w:rPr>
          <w:rFonts w:ascii="Times New Roman" w:eastAsia="Times New Roman" w:hAnsi="Times New Roman" w:cs="Times New Roman"/>
          <w:sz w:val="20"/>
          <w:szCs w:val="20"/>
        </w:rPr>
        <w:lastRenderedPageBreak/>
        <w:t>Fig 2</w:t>
      </w:r>
      <w:r w:rsidRPr="00DD6AA1">
        <w:rPr>
          <w:rFonts w:ascii="Times New Roman" w:eastAsia="Times New Roman" w:hAnsi="Times New Roman" w:cs="Times New Roman"/>
          <w:sz w:val="20"/>
          <w:szCs w:val="20"/>
        </w:rPr>
        <w:t>)</w:t>
      </w:r>
      <w:r w:rsidR="00C20E52" w:rsidRPr="00DD6AA1">
        <w:rPr>
          <w:rFonts w:ascii="Times New Roman" w:eastAsia="Times New Roman" w:hAnsi="Times New Roman" w:cs="Times New Roman"/>
          <w:sz w:val="20"/>
          <w:szCs w:val="20"/>
        </w:rPr>
        <w:t>,</w:t>
      </w:r>
      <w:r w:rsidRPr="00DD6AA1">
        <w:rPr>
          <w:rFonts w:ascii="Times New Roman" w:eastAsia="Times New Roman" w:hAnsi="Times New Roman" w:cs="Times New Roman"/>
          <w:sz w:val="20"/>
          <w:szCs w:val="20"/>
        </w:rPr>
        <w:t xml:space="preserve"> </w:t>
      </w:r>
      <w:r w:rsidR="00DF5CA9" w:rsidRPr="00DD6AA1">
        <w:rPr>
          <w:rFonts w:ascii="Times New Roman" w:eastAsia="Times New Roman" w:hAnsi="Times New Roman" w:cs="Times New Roman"/>
          <w:sz w:val="20"/>
          <w:szCs w:val="20"/>
        </w:rPr>
        <w:t xml:space="preserve">total distance traveled was more than double during late guard than in early guard </w:t>
      </w:r>
      <w:r w:rsidRPr="00DD6AA1">
        <w:rPr>
          <w:rFonts w:ascii="Times New Roman" w:eastAsia="Times New Roman" w:hAnsi="Times New Roman" w:cs="Times New Roman"/>
          <w:sz w:val="20"/>
          <w:szCs w:val="20"/>
        </w:rPr>
        <w:t>(</w:t>
      </w:r>
      <w:r w:rsidR="00CC36E1" w:rsidRPr="00DD6AA1">
        <w:rPr>
          <w:rFonts w:ascii="Times New Roman" w:eastAsia="Times New Roman" w:hAnsi="Times New Roman" w:cs="Times New Roman"/>
          <w:sz w:val="20"/>
          <w:szCs w:val="20"/>
        </w:rPr>
        <w:t xml:space="preserve">22.41 ± 0.09 km vs. </w:t>
      </w:r>
      <w:r w:rsidR="000E0B0A" w:rsidRPr="00DD6AA1">
        <w:rPr>
          <w:rFonts w:ascii="Times New Roman" w:eastAsia="Times New Roman" w:hAnsi="Times New Roman" w:cs="Times New Roman"/>
          <w:sz w:val="20"/>
          <w:szCs w:val="20"/>
        </w:rPr>
        <w:t>53.02 ± 0.11 km</w:t>
      </w:r>
      <w:r w:rsidR="00CC36E1" w:rsidRPr="00DD6AA1">
        <w:rPr>
          <w:rFonts w:ascii="Times New Roman" w:eastAsia="Times New Roman" w:hAnsi="Times New Roman" w:cs="Times New Roman"/>
          <w:sz w:val="20"/>
          <w:szCs w:val="20"/>
        </w:rPr>
        <w:t xml:space="preserve">; </w:t>
      </w:r>
      <w:r w:rsidRPr="00DD6AA1">
        <w:rPr>
          <w:rFonts w:ascii="Times New Roman" w:eastAsia="Times New Roman" w:hAnsi="Times New Roman" w:cs="Times New Roman"/>
          <w:sz w:val="20"/>
          <w:szCs w:val="20"/>
        </w:rPr>
        <w:t>LMM, F=34.75; p&lt;0.001</w:t>
      </w:r>
      <w:r w:rsidR="004E7470" w:rsidRPr="00DD6AA1">
        <w:rPr>
          <w:rFonts w:ascii="Times New Roman" w:eastAsia="Times New Roman" w:hAnsi="Times New Roman" w:cs="Times New Roman"/>
          <w:sz w:val="20"/>
          <w:szCs w:val="20"/>
        </w:rPr>
        <w:t>; Fig 2</w:t>
      </w:r>
      <w:r w:rsidRPr="00DD6AA1">
        <w:rPr>
          <w:rFonts w:ascii="Times New Roman" w:eastAsia="Times New Roman" w:hAnsi="Times New Roman" w:cs="Times New Roman"/>
          <w:sz w:val="20"/>
          <w:szCs w:val="20"/>
        </w:rPr>
        <w:t>),</w:t>
      </w:r>
      <w:r w:rsidR="00CC36E1" w:rsidRPr="00DD6AA1">
        <w:rPr>
          <w:rFonts w:ascii="Times New Roman" w:eastAsia="Times New Roman" w:hAnsi="Times New Roman" w:cs="Times New Roman"/>
          <w:sz w:val="20"/>
          <w:szCs w:val="20"/>
        </w:rPr>
        <w:t xml:space="preserve"> as well as</w:t>
      </w:r>
      <w:r w:rsidRPr="00DD6AA1">
        <w:rPr>
          <w:rFonts w:ascii="Times New Roman" w:eastAsia="Times New Roman" w:hAnsi="Times New Roman" w:cs="Times New Roman"/>
          <w:sz w:val="20"/>
          <w:szCs w:val="20"/>
        </w:rPr>
        <w:t xml:space="preserve"> maximum distance to the colony (</w:t>
      </w:r>
      <w:r w:rsidR="000E0B0A" w:rsidRPr="00DD6AA1">
        <w:rPr>
          <w:rFonts w:ascii="Times New Roman" w:eastAsia="Times New Roman" w:hAnsi="Times New Roman" w:cs="Times New Roman"/>
          <w:sz w:val="20"/>
          <w:szCs w:val="20"/>
        </w:rPr>
        <w:t>18.48 ± 0.12 km</w:t>
      </w:r>
      <w:r w:rsidR="00CC36E1" w:rsidRPr="00DD6AA1">
        <w:rPr>
          <w:rFonts w:ascii="Times New Roman" w:eastAsia="Times New Roman" w:hAnsi="Times New Roman" w:cs="Times New Roman"/>
          <w:sz w:val="20"/>
          <w:szCs w:val="20"/>
        </w:rPr>
        <w:t xml:space="preserve"> vs. 7.1</w:t>
      </w:r>
      <w:r w:rsidR="00D61B5E" w:rsidRPr="00DD6AA1">
        <w:rPr>
          <w:rFonts w:ascii="Times New Roman" w:eastAsia="Times New Roman" w:hAnsi="Times New Roman" w:cs="Times New Roman"/>
          <w:sz w:val="20"/>
          <w:szCs w:val="20"/>
        </w:rPr>
        <w:t>2</w:t>
      </w:r>
      <w:r w:rsidR="00CC36E1" w:rsidRPr="00DD6AA1">
        <w:rPr>
          <w:rFonts w:ascii="Times New Roman" w:eastAsia="Times New Roman" w:hAnsi="Times New Roman" w:cs="Times New Roman"/>
          <w:sz w:val="20"/>
          <w:szCs w:val="20"/>
        </w:rPr>
        <w:t xml:space="preserve"> ± 0.10 km;</w:t>
      </w:r>
      <w:r w:rsidR="000E0B0A" w:rsidRPr="00DD6AA1">
        <w:rPr>
          <w:rFonts w:ascii="Times New Roman" w:eastAsia="Times New Roman" w:hAnsi="Times New Roman" w:cs="Times New Roman"/>
          <w:sz w:val="20"/>
          <w:szCs w:val="20"/>
        </w:rPr>
        <w:t xml:space="preserve"> </w:t>
      </w:r>
      <w:r w:rsidRPr="00DD6AA1">
        <w:rPr>
          <w:rFonts w:ascii="Times New Roman" w:eastAsia="Times New Roman" w:hAnsi="Times New Roman" w:cs="Times New Roman"/>
          <w:sz w:val="20"/>
          <w:szCs w:val="20"/>
        </w:rPr>
        <w:t>LMM, F=34.95; p&lt;0.001</w:t>
      </w:r>
      <w:r w:rsidR="004E7470" w:rsidRPr="00DD6AA1">
        <w:rPr>
          <w:rFonts w:ascii="Times New Roman" w:eastAsia="Times New Roman" w:hAnsi="Times New Roman" w:cs="Times New Roman"/>
          <w:sz w:val="20"/>
          <w:szCs w:val="20"/>
        </w:rPr>
        <w:t>; Fig 2</w:t>
      </w:r>
      <w:r w:rsidRPr="00DD6AA1">
        <w:rPr>
          <w:rFonts w:ascii="Times New Roman" w:eastAsia="Times New Roman" w:hAnsi="Times New Roman" w:cs="Times New Roman"/>
          <w:sz w:val="20"/>
          <w:szCs w:val="20"/>
        </w:rPr>
        <w:t xml:space="preserve">), </w:t>
      </w:r>
      <w:r w:rsidR="00CC36E1" w:rsidRPr="00DD6AA1">
        <w:rPr>
          <w:rFonts w:ascii="Times New Roman" w:eastAsia="Times New Roman" w:hAnsi="Times New Roman" w:cs="Times New Roman"/>
          <w:sz w:val="20"/>
          <w:szCs w:val="20"/>
        </w:rPr>
        <w:t>and the maximum depth recorded was deeper during late guard than in early guard</w:t>
      </w:r>
      <w:r w:rsidRPr="00DD6AA1">
        <w:rPr>
          <w:rFonts w:ascii="Times New Roman" w:eastAsia="Times New Roman" w:hAnsi="Times New Roman" w:cs="Times New Roman"/>
          <w:sz w:val="20"/>
          <w:szCs w:val="20"/>
        </w:rPr>
        <w:t xml:space="preserve"> (</w:t>
      </w:r>
      <w:r w:rsidR="009D24DF" w:rsidRPr="00DD6AA1">
        <w:rPr>
          <w:rFonts w:ascii="Times New Roman" w:eastAsia="Times New Roman" w:hAnsi="Times New Roman" w:cs="Times New Roman"/>
          <w:sz w:val="20"/>
          <w:szCs w:val="20"/>
        </w:rPr>
        <w:t xml:space="preserve">78.75 ± 2.18 m vs. </w:t>
      </w:r>
      <w:r w:rsidR="000E0B0A" w:rsidRPr="00DD6AA1">
        <w:rPr>
          <w:rFonts w:ascii="Times New Roman" w:eastAsia="Times New Roman" w:hAnsi="Times New Roman" w:cs="Times New Roman"/>
          <w:sz w:val="20"/>
          <w:szCs w:val="20"/>
        </w:rPr>
        <w:t>90.31 ± 2.61 m</w:t>
      </w:r>
      <w:r w:rsidR="009D24DF" w:rsidRPr="00DD6AA1">
        <w:rPr>
          <w:rFonts w:ascii="Times New Roman" w:eastAsia="Times New Roman" w:hAnsi="Times New Roman" w:cs="Times New Roman"/>
          <w:sz w:val="20"/>
          <w:szCs w:val="20"/>
        </w:rPr>
        <w:t>;</w:t>
      </w:r>
      <w:r w:rsidR="000E0B0A" w:rsidRPr="00DD6AA1">
        <w:rPr>
          <w:rFonts w:ascii="Times New Roman" w:eastAsia="Times New Roman" w:hAnsi="Times New Roman" w:cs="Times New Roman"/>
          <w:sz w:val="20"/>
          <w:szCs w:val="20"/>
        </w:rPr>
        <w:t xml:space="preserve"> </w:t>
      </w:r>
      <w:r w:rsidRPr="00DD6AA1">
        <w:rPr>
          <w:rFonts w:ascii="Times New Roman" w:eastAsia="Times New Roman" w:hAnsi="Times New Roman" w:cs="Times New Roman"/>
          <w:sz w:val="20"/>
          <w:szCs w:val="20"/>
        </w:rPr>
        <w:t>F=11.57; p&lt;0.01</w:t>
      </w:r>
      <w:r w:rsidR="00CC36E1" w:rsidRPr="00DD6AA1">
        <w:rPr>
          <w:rFonts w:ascii="Times New Roman" w:eastAsia="Times New Roman" w:hAnsi="Times New Roman" w:cs="Times New Roman"/>
          <w:sz w:val="20"/>
          <w:szCs w:val="20"/>
        </w:rPr>
        <w:t>; Fig 2</w:t>
      </w:r>
      <w:r w:rsidRPr="00DD6AA1">
        <w:rPr>
          <w:rFonts w:ascii="Times New Roman" w:eastAsia="Times New Roman" w:hAnsi="Times New Roman" w:cs="Times New Roman"/>
          <w:sz w:val="20"/>
          <w:szCs w:val="20"/>
        </w:rPr>
        <w:t xml:space="preserve">). The 50, 90 and 95% UDs were also significantly larger during the late guard (LM, F=45.66; F=45.91; F=45.14; p&lt;0.001, respectively; Fig 2). For these estimates h-value was set at 1.67 km. Finally, the frequency of dives was lower </w:t>
      </w:r>
      <w:r w:rsidR="001A5982" w:rsidRPr="00DD6AA1">
        <w:rPr>
          <w:rFonts w:ascii="Times New Roman" w:eastAsia="Times New Roman" w:hAnsi="Times New Roman" w:cs="Times New Roman"/>
          <w:sz w:val="20"/>
          <w:szCs w:val="20"/>
        </w:rPr>
        <w:t xml:space="preserve">during the late guard </w:t>
      </w:r>
      <w:r w:rsidRPr="00DD6AA1">
        <w:rPr>
          <w:rFonts w:ascii="Times New Roman" w:eastAsia="Times New Roman" w:hAnsi="Times New Roman" w:cs="Times New Roman"/>
          <w:sz w:val="20"/>
          <w:szCs w:val="20"/>
        </w:rPr>
        <w:t>(</w:t>
      </w:r>
      <w:r w:rsidR="009D24DF" w:rsidRPr="00DD6AA1">
        <w:rPr>
          <w:rFonts w:ascii="Times New Roman" w:eastAsia="Times New Roman" w:hAnsi="Times New Roman" w:cs="Times New Roman"/>
          <w:sz w:val="20"/>
          <w:szCs w:val="20"/>
        </w:rPr>
        <w:t xml:space="preserve">33.74 ± 0.03 vs. </w:t>
      </w:r>
      <w:r w:rsidR="001A5982" w:rsidRPr="00DD6AA1">
        <w:rPr>
          <w:rFonts w:ascii="Times New Roman" w:eastAsia="Times New Roman" w:hAnsi="Times New Roman" w:cs="Times New Roman"/>
          <w:sz w:val="20"/>
          <w:szCs w:val="20"/>
        </w:rPr>
        <w:t>28.94</w:t>
      </w:r>
      <w:r w:rsidR="009D24DF" w:rsidRPr="00DD6AA1">
        <w:rPr>
          <w:rFonts w:ascii="Times New Roman" w:eastAsia="Times New Roman" w:hAnsi="Times New Roman" w:cs="Times New Roman"/>
          <w:sz w:val="20"/>
          <w:szCs w:val="20"/>
        </w:rPr>
        <w:t xml:space="preserve"> ± </w:t>
      </w:r>
      <w:r w:rsidR="001A5982" w:rsidRPr="00DD6AA1">
        <w:rPr>
          <w:rFonts w:ascii="Times New Roman" w:eastAsia="Times New Roman" w:hAnsi="Times New Roman" w:cs="Times New Roman"/>
          <w:sz w:val="20"/>
          <w:szCs w:val="20"/>
        </w:rPr>
        <w:t>0.04;</w:t>
      </w:r>
      <w:r w:rsidR="009D24DF" w:rsidRPr="00DD6AA1">
        <w:rPr>
          <w:rFonts w:ascii="Times New Roman" w:eastAsia="Times New Roman" w:hAnsi="Times New Roman" w:cs="Times New Roman"/>
          <w:sz w:val="20"/>
          <w:szCs w:val="20"/>
        </w:rPr>
        <w:t xml:space="preserve"> </w:t>
      </w:r>
      <w:r w:rsidRPr="00DD6AA1">
        <w:rPr>
          <w:rFonts w:ascii="Times New Roman" w:eastAsia="Times New Roman" w:hAnsi="Times New Roman" w:cs="Times New Roman"/>
          <w:sz w:val="20"/>
          <w:szCs w:val="20"/>
        </w:rPr>
        <w:t>LMM, F=7.33; p&lt;0.01</w:t>
      </w:r>
      <w:r w:rsidR="009D24DF" w:rsidRPr="00DD6AA1">
        <w:rPr>
          <w:rFonts w:ascii="Times New Roman" w:eastAsia="Times New Roman" w:hAnsi="Times New Roman" w:cs="Times New Roman"/>
          <w:sz w:val="20"/>
          <w:szCs w:val="20"/>
        </w:rPr>
        <w:t>; Fig 3</w:t>
      </w:r>
      <w:r w:rsidRPr="00DD6AA1">
        <w:rPr>
          <w:rFonts w:ascii="Times New Roman" w:eastAsia="Times New Roman" w:hAnsi="Times New Roman" w:cs="Times New Roman"/>
          <w:sz w:val="20"/>
          <w:szCs w:val="20"/>
        </w:rPr>
        <w:t>).</w:t>
      </w:r>
      <w:r w:rsidRPr="00DD6AA1">
        <w:t xml:space="preserve"> </w:t>
      </w:r>
      <w:r w:rsidRPr="00DD6AA1">
        <w:rPr>
          <w:rFonts w:ascii="Times New Roman" w:eastAsia="Times New Roman" w:hAnsi="Times New Roman" w:cs="Times New Roman"/>
          <w:sz w:val="20"/>
          <w:szCs w:val="20"/>
        </w:rPr>
        <w:t>No other dive parameters showed significant differences between stages (Table 1 and S3, Fig 3).</w:t>
      </w:r>
      <w:r w:rsidR="000B0980" w:rsidRPr="00DD6AA1">
        <w:rPr>
          <w:rFonts w:ascii="Times New Roman" w:eastAsia="Times New Roman" w:hAnsi="Times New Roman" w:cs="Times New Roman"/>
          <w:sz w:val="20"/>
          <w:szCs w:val="20"/>
        </w:rPr>
        <w:t xml:space="preserve"> </w:t>
      </w:r>
      <w:r w:rsidR="005E3459" w:rsidRPr="00DD6AA1">
        <w:rPr>
          <w:rFonts w:ascii="Times New Roman" w:eastAsia="Times New Roman" w:hAnsi="Times New Roman" w:cs="Times New Roman"/>
          <w:sz w:val="20"/>
          <w:szCs w:val="20"/>
        </w:rPr>
        <w:t>The indicated values are the mean and standard error for each parameter.</w:t>
      </w:r>
    </w:p>
    <w:p w14:paraId="1A119BD6" w14:textId="2007CA2B" w:rsidR="00D61B5E" w:rsidRPr="00DD6AA1" w:rsidRDefault="00D61B5E">
      <w:pPr>
        <w:spacing w:line="360" w:lineRule="auto"/>
        <w:jc w:val="both"/>
        <w:rPr>
          <w:rFonts w:ascii="Times New Roman" w:eastAsia="Times New Roman" w:hAnsi="Times New Roman" w:cs="Times New Roman"/>
          <w:sz w:val="20"/>
          <w:szCs w:val="20"/>
        </w:rPr>
      </w:pPr>
    </w:p>
    <w:p w14:paraId="7AEED914" w14:textId="3A6A9F08" w:rsidR="000B0980" w:rsidRPr="00DD6AA1" w:rsidRDefault="00000000" w:rsidP="000B0980">
      <w:pPr>
        <w:spacing w:line="360" w:lineRule="auto"/>
        <w:jc w:val="both"/>
        <w:rPr>
          <w:rFonts w:ascii="Times New Roman" w:eastAsia="Times New Roman" w:hAnsi="Times New Roman" w:cs="Times New Roman"/>
          <w:sz w:val="20"/>
          <w:szCs w:val="20"/>
        </w:rPr>
      </w:pPr>
      <w:r w:rsidRPr="00DD6AA1">
        <w:rPr>
          <w:rFonts w:ascii="Times New Roman" w:eastAsia="Times New Roman" w:hAnsi="Times New Roman" w:cs="Times New Roman"/>
          <w:sz w:val="20"/>
          <w:szCs w:val="20"/>
        </w:rPr>
        <w:t xml:space="preserve">We also found significant differences in foraging trip characteristics between seasons. During the early guard in the 2019-2020 season, Adélie penguins undertook shorter trips in terms of total </w:t>
      </w:r>
      <w:r w:rsidR="00D61B5E" w:rsidRPr="00DD6AA1">
        <w:rPr>
          <w:rFonts w:ascii="Times New Roman" w:eastAsia="Times New Roman" w:hAnsi="Times New Roman" w:cs="Times New Roman"/>
          <w:sz w:val="20"/>
          <w:szCs w:val="20"/>
        </w:rPr>
        <w:t>distance traveled (</w:t>
      </w:r>
      <w:r w:rsidR="00A17E99" w:rsidRPr="00DD6AA1">
        <w:rPr>
          <w:rFonts w:ascii="Times New Roman" w:eastAsia="Times New Roman" w:hAnsi="Times New Roman" w:cs="Times New Roman"/>
          <w:sz w:val="20"/>
          <w:szCs w:val="20"/>
        </w:rPr>
        <w:t>16</w:t>
      </w:r>
      <w:r w:rsidR="00D61B5E" w:rsidRPr="00DD6AA1">
        <w:rPr>
          <w:rFonts w:ascii="Times New Roman" w:eastAsia="Times New Roman" w:hAnsi="Times New Roman" w:cs="Times New Roman"/>
          <w:sz w:val="20"/>
          <w:szCs w:val="20"/>
        </w:rPr>
        <w:t>.0</w:t>
      </w:r>
      <w:r w:rsidR="00A17E99" w:rsidRPr="00DD6AA1">
        <w:rPr>
          <w:rFonts w:ascii="Times New Roman" w:eastAsia="Times New Roman" w:hAnsi="Times New Roman" w:cs="Times New Roman"/>
          <w:sz w:val="20"/>
          <w:szCs w:val="20"/>
        </w:rPr>
        <w:t>8</w:t>
      </w:r>
      <w:r w:rsidR="00D61B5E" w:rsidRPr="00DD6AA1">
        <w:rPr>
          <w:rFonts w:ascii="Times New Roman" w:eastAsia="Times New Roman" w:hAnsi="Times New Roman" w:cs="Times New Roman"/>
          <w:sz w:val="20"/>
          <w:szCs w:val="20"/>
        </w:rPr>
        <w:t xml:space="preserve"> ± 0.</w:t>
      </w:r>
      <w:r w:rsidR="00A17E99" w:rsidRPr="00DD6AA1">
        <w:rPr>
          <w:rFonts w:ascii="Times New Roman" w:eastAsia="Times New Roman" w:hAnsi="Times New Roman" w:cs="Times New Roman"/>
          <w:sz w:val="20"/>
          <w:szCs w:val="20"/>
        </w:rPr>
        <w:t xml:space="preserve">11 km </w:t>
      </w:r>
      <w:r w:rsidR="00D61B5E" w:rsidRPr="00DD6AA1">
        <w:rPr>
          <w:rFonts w:ascii="Times New Roman" w:eastAsia="Times New Roman" w:hAnsi="Times New Roman" w:cs="Times New Roman"/>
          <w:sz w:val="20"/>
          <w:szCs w:val="20"/>
        </w:rPr>
        <w:t xml:space="preserve"> vs. </w:t>
      </w:r>
      <w:r w:rsidR="00A17E99" w:rsidRPr="00DD6AA1">
        <w:rPr>
          <w:rFonts w:ascii="Times New Roman" w:eastAsia="Times New Roman" w:hAnsi="Times New Roman" w:cs="Times New Roman"/>
          <w:sz w:val="20"/>
          <w:szCs w:val="20"/>
        </w:rPr>
        <w:t>33</w:t>
      </w:r>
      <w:r w:rsidR="00D61B5E" w:rsidRPr="00DD6AA1">
        <w:rPr>
          <w:rFonts w:ascii="Times New Roman" w:eastAsia="Times New Roman" w:hAnsi="Times New Roman" w:cs="Times New Roman"/>
          <w:sz w:val="20"/>
          <w:szCs w:val="20"/>
        </w:rPr>
        <w:t>.</w:t>
      </w:r>
      <w:r w:rsidR="00A17E99" w:rsidRPr="00DD6AA1">
        <w:rPr>
          <w:rFonts w:ascii="Times New Roman" w:eastAsia="Times New Roman" w:hAnsi="Times New Roman" w:cs="Times New Roman"/>
          <w:sz w:val="20"/>
          <w:szCs w:val="20"/>
        </w:rPr>
        <w:t>75</w:t>
      </w:r>
      <w:r w:rsidR="00D61B5E" w:rsidRPr="00DD6AA1">
        <w:rPr>
          <w:rFonts w:ascii="Times New Roman" w:eastAsia="Times New Roman" w:hAnsi="Times New Roman" w:cs="Times New Roman"/>
          <w:sz w:val="20"/>
          <w:szCs w:val="20"/>
        </w:rPr>
        <w:t xml:space="preserve"> ± 0.</w:t>
      </w:r>
      <w:r w:rsidR="00A17E99" w:rsidRPr="00DD6AA1">
        <w:rPr>
          <w:rFonts w:ascii="Times New Roman" w:eastAsia="Times New Roman" w:hAnsi="Times New Roman" w:cs="Times New Roman"/>
          <w:sz w:val="20"/>
          <w:szCs w:val="20"/>
        </w:rPr>
        <w:t>12 km</w:t>
      </w:r>
      <w:r w:rsidR="00D61B5E" w:rsidRPr="00DD6AA1">
        <w:rPr>
          <w:rFonts w:ascii="Times New Roman" w:eastAsia="Times New Roman" w:hAnsi="Times New Roman" w:cs="Times New Roman"/>
          <w:sz w:val="20"/>
          <w:szCs w:val="20"/>
        </w:rPr>
        <w:t>; LMM, F=22.88)</w:t>
      </w:r>
      <w:r w:rsidR="00A17E99" w:rsidRPr="00DD6AA1">
        <w:rPr>
          <w:rFonts w:ascii="Times New Roman" w:eastAsia="Times New Roman" w:hAnsi="Times New Roman" w:cs="Times New Roman"/>
          <w:sz w:val="20"/>
          <w:szCs w:val="20"/>
        </w:rPr>
        <w:t xml:space="preserve">, </w:t>
      </w:r>
      <w:r w:rsidRPr="00DD6AA1">
        <w:rPr>
          <w:rFonts w:ascii="Times New Roman" w:eastAsia="Times New Roman" w:hAnsi="Times New Roman" w:cs="Times New Roman"/>
          <w:sz w:val="20"/>
          <w:szCs w:val="20"/>
        </w:rPr>
        <w:t>maximum distance (</w:t>
      </w:r>
      <w:r w:rsidR="00A17E99" w:rsidRPr="00DD6AA1">
        <w:rPr>
          <w:rFonts w:ascii="Times New Roman" w:eastAsia="Times New Roman" w:hAnsi="Times New Roman" w:cs="Times New Roman"/>
          <w:sz w:val="20"/>
          <w:szCs w:val="20"/>
        </w:rPr>
        <w:t xml:space="preserve">5.23 ± 0.13 km vs. 10.45 ± 0.14 km; </w:t>
      </w:r>
      <w:r w:rsidRPr="00DD6AA1">
        <w:rPr>
          <w:rFonts w:ascii="Times New Roman" w:eastAsia="Times New Roman" w:hAnsi="Times New Roman" w:cs="Times New Roman"/>
          <w:sz w:val="20"/>
          <w:szCs w:val="20"/>
        </w:rPr>
        <w:t>F=18.38; p&lt;0.001) and duration (</w:t>
      </w:r>
      <w:r w:rsidR="00A17E99" w:rsidRPr="00DD6AA1">
        <w:rPr>
          <w:rFonts w:ascii="Times New Roman" w:eastAsia="Times New Roman" w:hAnsi="Times New Roman" w:cs="Times New Roman"/>
          <w:sz w:val="20"/>
          <w:szCs w:val="20"/>
        </w:rPr>
        <w:t xml:space="preserve">8.04 ± 0.07 h vs. 16.04 ± 0.08 h; </w:t>
      </w:r>
      <w:r w:rsidRPr="00DD6AA1">
        <w:rPr>
          <w:rFonts w:ascii="Times New Roman" w:eastAsia="Times New Roman" w:hAnsi="Times New Roman" w:cs="Times New Roman"/>
          <w:sz w:val="20"/>
          <w:szCs w:val="20"/>
        </w:rPr>
        <w:t>LMM, F=26.83; p&lt;0.001) than at the same stage in the 2021-2022 season</w:t>
      </w:r>
      <w:r w:rsidR="00D61B5E" w:rsidRPr="00DD6AA1">
        <w:rPr>
          <w:rFonts w:ascii="Times New Roman" w:eastAsia="Times New Roman" w:hAnsi="Times New Roman" w:cs="Times New Roman"/>
          <w:sz w:val="20"/>
          <w:szCs w:val="20"/>
        </w:rPr>
        <w:t xml:space="preserve"> (Fig 2)</w:t>
      </w:r>
      <w:r w:rsidRPr="00DD6AA1">
        <w:rPr>
          <w:rFonts w:ascii="Times New Roman" w:eastAsia="Times New Roman" w:hAnsi="Times New Roman" w:cs="Times New Roman"/>
          <w:sz w:val="20"/>
          <w:szCs w:val="20"/>
        </w:rPr>
        <w:t>. Similarly, the 50, 90 and 95% UDs were smaller (LM, F=22.23; F=28.56; F=28.75; p&lt;0.001, respectively), and the maximum depth recorded was shallower (</w:t>
      </w:r>
      <w:r w:rsidR="00A17E99" w:rsidRPr="00DD6AA1">
        <w:rPr>
          <w:rFonts w:ascii="Times New Roman" w:eastAsia="Times New Roman" w:hAnsi="Times New Roman" w:cs="Times New Roman"/>
          <w:sz w:val="20"/>
          <w:szCs w:val="20"/>
        </w:rPr>
        <w:t xml:space="preserve">75.52 ± 2.64 m vs. 86.66 ± 2.97 m; </w:t>
      </w:r>
      <w:r w:rsidRPr="00DD6AA1">
        <w:rPr>
          <w:rFonts w:ascii="Times New Roman" w:eastAsia="Times New Roman" w:hAnsi="Times New Roman" w:cs="Times New Roman"/>
          <w:sz w:val="20"/>
          <w:szCs w:val="20"/>
        </w:rPr>
        <w:t>LMM, F=8.90; p&lt;0.001; Fig 2).</w:t>
      </w:r>
      <w:r w:rsidRPr="00DD6AA1">
        <w:t xml:space="preserve"> </w:t>
      </w:r>
      <w:r w:rsidRPr="00DD6AA1">
        <w:rPr>
          <w:rFonts w:ascii="Times New Roman" w:eastAsia="Times New Roman" w:hAnsi="Times New Roman" w:cs="Times New Roman"/>
          <w:sz w:val="20"/>
          <w:szCs w:val="20"/>
        </w:rPr>
        <w:t>There were no significant differences between the same stage in different seasons for the other parameters (Table 1 and S3, Fig 3).</w:t>
      </w:r>
      <w:r w:rsidR="000B0980" w:rsidRPr="00DD6AA1">
        <w:rPr>
          <w:rFonts w:ascii="Times New Roman" w:eastAsia="Times New Roman" w:hAnsi="Times New Roman" w:cs="Times New Roman"/>
          <w:sz w:val="20"/>
          <w:szCs w:val="20"/>
        </w:rPr>
        <w:t xml:space="preserve"> The indicated </w:t>
      </w:r>
      <w:r w:rsidR="005E3459" w:rsidRPr="00DD6AA1">
        <w:rPr>
          <w:rFonts w:ascii="Times New Roman" w:eastAsia="Times New Roman" w:hAnsi="Times New Roman" w:cs="Times New Roman"/>
          <w:sz w:val="20"/>
          <w:szCs w:val="20"/>
        </w:rPr>
        <w:t xml:space="preserve">values </w:t>
      </w:r>
      <w:r w:rsidR="000B0980" w:rsidRPr="00DD6AA1">
        <w:rPr>
          <w:rFonts w:ascii="Times New Roman" w:eastAsia="Times New Roman" w:hAnsi="Times New Roman" w:cs="Times New Roman"/>
          <w:sz w:val="20"/>
          <w:szCs w:val="20"/>
        </w:rPr>
        <w:t>are the mean and standard error for each parameter.</w:t>
      </w:r>
    </w:p>
    <w:p w14:paraId="24A7DF23" w14:textId="0B5A899B" w:rsidR="000B0980" w:rsidRDefault="00DD6AA1">
      <w:pPr>
        <w:spacing w:line="360" w:lineRule="auto"/>
        <w:jc w:val="both"/>
        <w:rPr>
          <w:rFonts w:ascii="Times New Roman" w:eastAsia="Times New Roman" w:hAnsi="Times New Roman" w:cs="Times New Roman"/>
          <w:sz w:val="20"/>
          <w:szCs w:val="20"/>
        </w:rPr>
      </w:pPr>
      <w:r w:rsidRPr="004A587E">
        <w:rPr>
          <w:noProof/>
        </w:rPr>
        <w:drawing>
          <wp:anchor distT="0" distB="0" distL="114300" distR="114300" simplePos="0" relativeHeight="251658240" behindDoc="0" locked="0" layoutInCell="1" hidden="0" allowOverlap="1" wp14:anchorId="09B40FFB" wp14:editId="4624A93B">
            <wp:simplePos x="0" y="0"/>
            <wp:positionH relativeFrom="column">
              <wp:posOffset>660400</wp:posOffset>
            </wp:positionH>
            <wp:positionV relativeFrom="page">
              <wp:posOffset>5099050</wp:posOffset>
            </wp:positionV>
            <wp:extent cx="2955925" cy="4222750"/>
            <wp:effectExtent l="0" t="0" r="0" b="6350"/>
            <wp:wrapTopAndBottom distT="0" distB="0"/>
            <wp:docPr id="2" name="image4.png"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screenshot of a graph&#10;&#10;Description automatically generated"/>
                    <pic:cNvPicPr preferRelativeResize="0"/>
                  </pic:nvPicPr>
                  <pic:blipFill>
                    <a:blip r:embed="rId16"/>
                    <a:srcRect/>
                    <a:stretch>
                      <a:fillRect/>
                    </a:stretch>
                  </pic:blipFill>
                  <pic:spPr>
                    <a:xfrm>
                      <a:off x="0" y="0"/>
                      <a:ext cx="2955925" cy="4222750"/>
                    </a:xfrm>
                    <a:prstGeom prst="rect">
                      <a:avLst/>
                    </a:prstGeom>
                    <a:ln/>
                  </pic:spPr>
                </pic:pic>
              </a:graphicData>
            </a:graphic>
          </wp:anchor>
        </w:drawing>
      </w:r>
    </w:p>
    <w:p w14:paraId="0000004C" w14:textId="42713066"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Fig. 2</w:t>
      </w:r>
      <w:r>
        <w:rPr>
          <w:rFonts w:ascii="Times New Roman" w:eastAsia="Times New Roman" w:hAnsi="Times New Roman" w:cs="Times New Roman"/>
          <w:sz w:val="20"/>
          <w:szCs w:val="20"/>
        </w:rPr>
        <w:t xml:space="preserve"> Characteristics of the foraging trips of Adélie penguins breeding in </w:t>
      </w:r>
      <w:r w:rsidR="00F74DC7">
        <w:rPr>
          <w:rFonts w:ascii="Times New Roman" w:eastAsia="Times New Roman" w:hAnsi="Times New Roman" w:cs="Times New Roman"/>
          <w:sz w:val="20"/>
          <w:szCs w:val="20"/>
        </w:rPr>
        <w:t>Ardley Island</w:t>
      </w:r>
      <w:r>
        <w:rPr>
          <w:rFonts w:ascii="Times New Roman" w:eastAsia="Times New Roman" w:hAnsi="Times New Roman" w:cs="Times New Roman"/>
          <w:sz w:val="20"/>
          <w:szCs w:val="20"/>
        </w:rPr>
        <w:t>, King George Island, during early and late guard between 2019 and 2022 (e.g. early guard 2019-2020 and 2021-2022: E 19-20, E 21-</w:t>
      </w:r>
      <w:r>
        <w:rPr>
          <w:rFonts w:ascii="Times New Roman" w:eastAsia="Times New Roman" w:hAnsi="Times New Roman" w:cs="Times New Roman"/>
          <w:sz w:val="20"/>
          <w:szCs w:val="20"/>
        </w:rPr>
        <w:lastRenderedPageBreak/>
        <w:t>22; late guard 2020-2021 and 2021-2022: L 20-21, L 21-22. Mean and SE (standard error) calculated from model outputs: a) Trip duration (h), b) maximum distance from colony (km), c) total distance traveled (km), d) maximum trip depth (m), e-g) Home Range (HR). The (*) indicates significant differences between seasons and (**) indicates significant differences between stages</w:t>
      </w:r>
    </w:p>
    <w:p w14:paraId="0000004D" w14:textId="64484A84" w:rsidR="00D67D77" w:rsidRDefault="00D67D77">
      <w:pPr>
        <w:spacing w:line="360" w:lineRule="auto"/>
        <w:jc w:val="both"/>
        <w:rPr>
          <w:rFonts w:ascii="Times New Roman" w:eastAsia="Times New Roman" w:hAnsi="Times New Roman" w:cs="Times New Roman"/>
          <w:sz w:val="20"/>
          <w:szCs w:val="20"/>
        </w:rPr>
      </w:pPr>
    </w:p>
    <w:p w14:paraId="0000004E" w14:textId="77777777" w:rsidR="00D67D77" w:rsidRDefault="00000000" w:rsidP="00302488">
      <w:pPr>
        <w:suppressLineNumbers/>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3BCF0B0" wp14:editId="726A57F1">
            <wp:extent cx="3023622" cy="4319025"/>
            <wp:effectExtent l="0" t="0" r="0" b="0"/>
            <wp:docPr id="4" name="image1.png" descr="A group of black and white graph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oup of black and white graphs&#10;&#10;Description automatically generated"/>
                    <pic:cNvPicPr preferRelativeResize="0"/>
                  </pic:nvPicPr>
                  <pic:blipFill>
                    <a:blip r:embed="rId17"/>
                    <a:srcRect/>
                    <a:stretch>
                      <a:fillRect/>
                    </a:stretch>
                  </pic:blipFill>
                  <pic:spPr>
                    <a:xfrm>
                      <a:off x="0" y="0"/>
                      <a:ext cx="3023622" cy="4319025"/>
                    </a:xfrm>
                    <a:prstGeom prst="rect">
                      <a:avLst/>
                    </a:prstGeom>
                    <a:ln/>
                  </pic:spPr>
                </pic:pic>
              </a:graphicData>
            </a:graphic>
          </wp:inline>
        </w:drawing>
      </w:r>
    </w:p>
    <w:p w14:paraId="0000004F" w14:textId="411EA606"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Fig. 3</w:t>
      </w:r>
      <w:r>
        <w:rPr>
          <w:rFonts w:ascii="Times New Roman" w:eastAsia="Times New Roman" w:hAnsi="Times New Roman" w:cs="Times New Roman"/>
          <w:sz w:val="20"/>
          <w:szCs w:val="20"/>
        </w:rPr>
        <w:t xml:space="preserve"> Diving behavior of Adélie penguins breeding in </w:t>
      </w:r>
      <w:r w:rsidR="00F74DC7">
        <w:rPr>
          <w:rFonts w:ascii="Times New Roman" w:eastAsia="Times New Roman" w:hAnsi="Times New Roman" w:cs="Times New Roman"/>
          <w:sz w:val="20"/>
          <w:szCs w:val="20"/>
        </w:rPr>
        <w:t>Ardley Island</w:t>
      </w:r>
      <w:r>
        <w:rPr>
          <w:rFonts w:ascii="Times New Roman" w:eastAsia="Times New Roman" w:hAnsi="Times New Roman" w:cs="Times New Roman"/>
          <w:sz w:val="20"/>
          <w:szCs w:val="20"/>
        </w:rPr>
        <w:t>, King George Island, during early and late guard between 2019 and 2022 (e.g. early guard 2019-2020 and 2021-2022: E 19-20, E 21-22; late guard 2020-2021 and 2021-2022: L 20-21, L 21-22. Mean and SE (standard error) calculated from model outputs: a) dive duration (s), b) depth (m), c) bottom time (s), d) number of wiggles, e) proportion of bottom time, f) dive frequency g) proportion of the trip diving, h) dive efficiency. The (*) indicates significant differences between seasons, (**) indicates significant differences between stages and “</w:t>
      </w:r>
      <w:proofErr w:type="spellStart"/>
      <w:r>
        <w:rPr>
          <w:rFonts w:ascii="Times New Roman" w:eastAsia="Times New Roman" w:hAnsi="Times New Roman" w:cs="Times New Roman"/>
          <w:sz w:val="20"/>
          <w:szCs w:val="20"/>
        </w:rPr>
        <w:t>n.s</w:t>
      </w:r>
      <w:proofErr w:type="spellEnd"/>
      <w:r>
        <w:rPr>
          <w:rFonts w:ascii="Times New Roman" w:eastAsia="Times New Roman" w:hAnsi="Times New Roman" w:cs="Times New Roman"/>
          <w:sz w:val="20"/>
          <w:szCs w:val="20"/>
        </w:rPr>
        <w:t>.” indicates no significant differences</w:t>
      </w:r>
    </w:p>
    <w:p w14:paraId="00000050" w14:textId="77777777" w:rsidR="00D67D77" w:rsidRDefault="00D67D77">
      <w:pPr>
        <w:spacing w:line="360" w:lineRule="auto"/>
        <w:jc w:val="both"/>
        <w:rPr>
          <w:rFonts w:ascii="Times New Roman" w:eastAsia="Times New Roman" w:hAnsi="Times New Roman" w:cs="Times New Roman"/>
          <w:sz w:val="20"/>
          <w:szCs w:val="20"/>
        </w:rPr>
      </w:pPr>
    </w:p>
    <w:p w14:paraId="00000051"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Foraging dives of Adélie penguins were restricted to the vicinity of Ardley Island and comprise roughly 40% of the dives penguins perform during their foraging trips (Fig 4 and Table 2). Figure 5 shows the areas of overlap of the 50% UD of all the individuals tracked during the study period (for the whole colony h-value=1.67 km). Representativeness of these individuals with respect to the whole colony was estimated in 98%. Only 0.16 km2 cells where the 50% UD of at least 10% of the individuals studied overlap are shown.</w:t>
      </w:r>
    </w:p>
    <w:p w14:paraId="00000052" w14:textId="77777777" w:rsidR="00D67D77" w:rsidRDefault="00D67D77">
      <w:pPr>
        <w:spacing w:line="360" w:lineRule="auto"/>
        <w:jc w:val="both"/>
        <w:rPr>
          <w:rFonts w:ascii="Times New Roman" w:eastAsia="Times New Roman" w:hAnsi="Times New Roman" w:cs="Times New Roman"/>
          <w:sz w:val="20"/>
          <w:szCs w:val="20"/>
        </w:rPr>
      </w:pPr>
    </w:p>
    <w:p w14:paraId="00000053" w14:textId="77777777" w:rsidR="00D67D77" w:rsidRDefault="00000000" w:rsidP="00302488">
      <w:pPr>
        <w:suppressLineNumbers/>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14:anchorId="74BCA7BE" wp14:editId="047C1325">
            <wp:extent cx="4448565" cy="3114681"/>
            <wp:effectExtent l="0" t="0" r="0" b="0"/>
            <wp:docPr id="6" name="image3.png" descr="A picture containing text, diagram, screenshot, plo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 diagram, screenshot, plot&#10;&#10;Description automatically generated"/>
                    <pic:cNvPicPr preferRelativeResize="0"/>
                  </pic:nvPicPr>
                  <pic:blipFill>
                    <a:blip r:embed="rId18"/>
                    <a:srcRect/>
                    <a:stretch>
                      <a:fillRect/>
                    </a:stretch>
                  </pic:blipFill>
                  <pic:spPr>
                    <a:xfrm>
                      <a:off x="0" y="0"/>
                      <a:ext cx="4448565" cy="3114681"/>
                    </a:xfrm>
                    <a:prstGeom prst="rect">
                      <a:avLst/>
                    </a:prstGeom>
                    <a:ln/>
                  </pic:spPr>
                </pic:pic>
              </a:graphicData>
            </a:graphic>
          </wp:inline>
        </w:drawing>
      </w:r>
    </w:p>
    <w:p w14:paraId="00000054" w14:textId="77777777" w:rsidR="00D67D77" w:rsidRDefault="00000000">
      <w:pPr>
        <w:spacing w:line="360" w:lineRule="auto"/>
        <w:jc w:val="both"/>
        <w:rPr>
          <w:rFonts w:ascii="Times New Roman" w:eastAsia="Times New Roman" w:hAnsi="Times New Roman" w:cs="Times New Roman"/>
          <w:sz w:val="20"/>
          <w:szCs w:val="20"/>
        </w:rPr>
      </w:pPr>
      <w:bookmarkStart w:id="4" w:name="_heading=h.3znysh7" w:colFirst="0" w:colLast="0"/>
      <w:bookmarkEnd w:id="4"/>
      <w:r>
        <w:rPr>
          <w:rFonts w:ascii="Times New Roman" w:eastAsia="Times New Roman" w:hAnsi="Times New Roman" w:cs="Times New Roman"/>
          <w:b/>
          <w:sz w:val="20"/>
          <w:szCs w:val="20"/>
        </w:rPr>
        <w:t>Fig. 4</w:t>
      </w:r>
      <w:r>
        <w:rPr>
          <w:rFonts w:ascii="Times New Roman" w:eastAsia="Times New Roman" w:hAnsi="Times New Roman" w:cs="Times New Roman"/>
          <w:sz w:val="20"/>
          <w:szCs w:val="20"/>
        </w:rPr>
        <w:t xml:space="preserve"> Frequency distribution of distance of foraging dives to the colony (km) of Adélie penguins breeding in Ardley Island, King George Island, during early guard (green) and late guard (pink)</w:t>
      </w:r>
    </w:p>
    <w:p w14:paraId="00000055" w14:textId="77777777" w:rsidR="00D67D77" w:rsidRDefault="00D67D77">
      <w:pPr>
        <w:spacing w:line="360" w:lineRule="auto"/>
        <w:jc w:val="both"/>
        <w:rPr>
          <w:rFonts w:ascii="Times New Roman" w:eastAsia="Times New Roman" w:hAnsi="Times New Roman" w:cs="Times New Roman"/>
          <w:sz w:val="20"/>
          <w:szCs w:val="20"/>
        </w:rPr>
      </w:pPr>
    </w:p>
    <w:p w14:paraId="00000056" w14:textId="77777777" w:rsidR="00D67D77" w:rsidRDefault="00000000" w:rsidP="00302488">
      <w:pPr>
        <w:suppressLineNumbers/>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26F7344E" wp14:editId="172D1A32">
            <wp:extent cx="4297680" cy="4160520"/>
            <wp:effectExtent l="0" t="0" r="762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4297802" cy="4160638"/>
                    </a:xfrm>
                    <a:prstGeom prst="rect">
                      <a:avLst/>
                    </a:prstGeom>
                    <a:ln/>
                  </pic:spPr>
                </pic:pic>
              </a:graphicData>
            </a:graphic>
          </wp:inline>
        </w:drawing>
      </w:r>
    </w:p>
    <w:p w14:paraId="00000057"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Fig. 5</w:t>
      </w:r>
      <w:r>
        <w:rPr>
          <w:rFonts w:ascii="Times New Roman" w:eastAsia="Times New Roman" w:hAnsi="Times New Roman" w:cs="Times New Roman"/>
          <w:sz w:val="20"/>
          <w:szCs w:val="20"/>
        </w:rPr>
        <w:t xml:space="preserve"> Key foraging areas of Adélie penguins breeding in Ardley Island. Proportion of </w:t>
      </w:r>
      <w:r w:rsidRPr="00DD6AA1">
        <w:rPr>
          <w:rFonts w:ascii="Times New Roman" w:eastAsia="Times New Roman" w:hAnsi="Times New Roman" w:cs="Times New Roman"/>
          <w:sz w:val="20"/>
          <w:szCs w:val="20"/>
        </w:rPr>
        <w:t>individuals (</w:t>
      </w:r>
      <w:proofErr w:type="spellStart"/>
      <w:r w:rsidRPr="00DD6AA1">
        <w:rPr>
          <w:rFonts w:ascii="Times New Roman" w:eastAsia="Times New Roman" w:hAnsi="Times New Roman" w:cs="Times New Roman"/>
          <w:sz w:val="20"/>
          <w:szCs w:val="20"/>
        </w:rPr>
        <w:t>Prop_ind</w:t>
      </w:r>
      <w:proofErr w:type="spellEnd"/>
      <w:r w:rsidRPr="00DD6AA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foraging in each 0.16 km2 cell is shown. Only cells where the 50% UD of at least 10% of the population overlaps are shown. KDE 90% indicates the isopleth of the 90% kernel density of all locations recorded during the study</w:t>
      </w:r>
    </w:p>
    <w:p w14:paraId="00000058" w14:textId="77777777" w:rsidR="00D67D77" w:rsidRDefault="00D67D77">
      <w:pPr>
        <w:spacing w:line="360" w:lineRule="auto"/>
        <w:jc w:val="both"/>
        <w:rPr>
          <w:rFonts w:ascii="Times New Roman" w:eastAsia="Times New Roman" w:hAnsi="Times New Roman" w:cs="Times New Roman"/>
          <w:sz w:val="20"/>
          <w:szCs w:val="20"/>
        </w:rPr>
      </w:pPr>
    </w:p>
    <w:p w14:paraId="0000005A" w14:textId="48446D62" w:rsidR="00D67D77" w:rsidRPr="00DD6AA1" w:rsidRDefault="00000000">
      <w:pPr>
        <w:spacing w:line="360" w:lineRule="auto"/>
        <w:jc w:val="both"/>
        <w:rPr>
          <w:rFonts w:ascii="Times New Roman" w:eastAsia="Times New Roman" w:hAnsi="Times New Roman" w:cs="Times New Roman"/>
          <w:sz w:val="20"/>
          <w:szCs w:val="20"/>
        </w:rPr>
      </w:pPr>
      <w:r w:rsidRPr="00DD6AA1">
        <w:rPr>
          <w:rFonts w:ascii="Times New Roman" w:eastAsia="Times New Roman" w:hAnsi="Times New Roman" w:cs="Times New Roman"/>
          <w:sz w:val="20"/>
          <w:szCs w:val="20"/>
        </w:rPr>
        <w:t xml:space="preserve">There were significant differences between foraging dive characteristics during the early and late stages. </w:t>
      </w:r>
      <w:r w:rsidR="00364267" w:rsidRPr="00DD6AA1">
        <w:rPr>
          <w:rFonts w:ascii="Times New Roman" w:eastAsia="Times New Roman" w:hAnsi="Times New Roman" w:cs="Times New Roman"/>
          <w:sz w:val="20"/>
          <w:szCs w:val="20"/>
        </w:rPr>
        <w:t>During the late guard f</w:t>
      </w:r>
      <w:r w:rsidRPr="00DD6AA1">
        <w:rPr>
          <w:rFonts w:ascii="Times New Roman" w:eastAsia="Times New Roman" w:hAnsi="Times New Roman" w:cs="Times New Roman"/>
          <w:sz w:val="20"/>
          <w:szCs w:val="20"/>
        </w:rPr>
        <w:t>oraging dives were deeper (</w:t>
      </w:r>
      <w:r w:rsidR="00364267" w:rsidRPr="00DD6AA1">
        <w:rPr>
          <w:rFonts w:ascii="Times New Roman" w:eastAsia="Times New Roman" w:hAnsi="Times New Roman" w:cs="Times New Roman"/>
          <w:sz w:val="20"/>
          <w:szCs w:val="20"/>
        </w:rPr>
        <w:t xml:space="preserve">26.56 ± 0.04 m vs. 33.07 ± 0.05 m; </w:t>
      </w:r>
      <w:r w:rsidRPr="00DD6AA1">
        <w:rPr>
          <w:rFonts w:ascii="Times New Roman" w:eastAsia="Times New Roman" w:hAnsi="Times New Roman" w:cs="Times New Roman"/>
          <w:sz w:val="20"/>
          <w:szCs w:val="20"/>
        </w:rPr>
        <w:t>LMM, F=12.26; p&lt;0.001), the maximum depth was deeper (</w:t>
      </w:r>
      <w:r w:rsidR="00364267" w:rsidRPr="00DD6AA1">
        <w:rPr>
          <w:rFonts w:ascii="Times New Roman" w:eastAsia="Times New Roman" w:hAnsi="Times New Roman" w:cs="Times New Roman"/>
          <w:sz w:val="20"/>
          <w:szCs w:val="20"/>
        </w:rPr>
        <w:t xml:space="preserve">78.54 ± 2.14 m vs. 90.28 ± 2.57 m; </w:t>
      </w:r>
      <w:r w:rsidRPr="00DD6AA1">
        <w:rPr>
          <w:rFonts w:ascii="Times New Roman" w:eastAsia="Times New Roman" w:hAnsi="Times New Roman" w:cs="Times New Roman"/>
          <w:sz w:val="20"/>
          <w:szCs w:val="20"/>
        </w:rPr>
        <w:t>LMM, F=12.28; p&lt;0.001), lasted longer (</w:t>
      </w:r>
      <w:r w:rsidR="003C49F8" w:rsidRPr="00DD6AA1">
        <w:rPr>
          <w:rFonts w:ascii="Times New Roman" w:eastAsia="Times New Roman" w:hAnsi="Times New Roman" w:cs="Times New Roman"/>
          <w:sz w:val="20"/>
          <w:szCs w:val="20"/>
        </w:rPr>
        <w:t>89</w:t>
      </w:r>
      <w:r w:rsidR="00364267" w:rsidRPr="00DD6AA1">
        <w:rPr>
          <w:rFonts w:ascii="Times New Roman" w:eastAsia="Times New Roman" w:hAnsi="Times New Roman" w:cs="Times New Roman"/>
          <w:sz w:val="20"/>
          <w:szCs w:val="20"/>
        </w:rPr>
        <w:t>.</w:t>
      </w:r>
      <w:r w:rsidR="003C49F8" w:rsidRPr="00DD6AA1">
        <w:rPr>
          <w:rFonts w:ascii="Times New Roman" w:eastAsia="Times New Roman" w:hAnsi="Times New Roman" w:cs="Times New Roman"/>
          <w:sz w:val="20"/>
          <w:szCs w:val="20"/>
        </w:rPr>
        <w:t xml:space="preserve">62 </w:t>
      </w:r>
      <w:r w:rsidR="00364267" w:rsidRPr="00DD6AA1">
        <w:rPr>
          <w:rFonts w:ascii="Times New Roman" w:eastAsia="Times New Roman" w:hAnsi="Times New Roman" w:cs="Times New Roman"/>
          <w:sz w:val="20"/>
          <w:szCs w:val="20"/>
        </w:rPr>
        <w:t>± 2.</w:t>
      </w:r>
      <w:r w:rsidR="003C49F8" w:rsidRPr="00DD6AA1">
        <w:rPr>
          <w:rFonts w:ascii="Times New Roman" w:eastAsia="Times New Roman" w:hAnsi="Times New Roman" w:cs="Times New Roman"/>
          <w:sz w:val="20"/>
          <w:szCs w:val="20"/>
        </w:rPr>
        <w:t>08</w:t>
      </w:r>
      <w:r w:rsidR="00364267" w:rsidRPr="00DD6AA1">
        <w:rPr>
          <w:rFonts w:ascii="Times New Roman" w:eastAsia="Times New Roman" w:hAnsi="Times New Roman" w:cs="Times New Roman"/>
          <w:sz w:val="20"/>
          <w:szCs w:val="20"/>
        </w:rPr>
        <w:t xml:space="preserve"> </w:t>
      </w:r>
      <w:r w:rsidR="003C49F8" w:rsidRPr="00DD6AA1">
        <w:rPr>
          <w:rFonts w:ascii="Times New Roman" w:eastAsia="Times New Roman" w:hAnsi="Times New Roman" w:cs="Times New Roman"/>
          <w:sz w:val="20"/>
          <w:szCs w:val="20"/>
        </w:rPr>
        <w:t>s</w:t>
      </w:r>
      <w:r w:rsidR="00364267" w:rsidRPr="00DD6AA1">
        <w:rPr>
          <w:rFonts w:ascii="Times New Roman" w:eastAsia="Times New Roman" w:hAnsi="Times New Roman" w:cs="Times New Roman"/>
          <w:sz w:val="20"/>
          <w:szCs w:val="20"/>
        </w:rPr>
        <w:t xml:space="preserve"> vs. </w:t>
      </w:r>
      <w:r w:rsidR="003C49F8" w:rsidRPr="00DD6AA1">
        <w:rPr>
          <w:rFonts w:ascii="Times New Roman" w:eastAsia="Times New Roman" w:hAnsi="Times New Roman" w:cs="Times New Roman"/>
          <w:sz w:val="20"/>
          <w:szCs w:val="20"/>
        </w:rPr>
        <w:t>102</w:t>
      </w:r>
      <w:r w:rsidR="00364267" w:rsidRPr="00DD6AA1">
        <w:rPr>
          <w:rFonts w:ascii="Times New Roman" w:eastAsia="Times New Roman" w:hAnsi="Times New Roman" w:cs="Times New Roman"/>
          <w:sz w:val="20"/>
          <w:szCs w:val="20"/>
        </w:rPr>
        <w:t>.</w:t>
      </w:r>
      <w:r w:rsidR="003C49F8" w:rsidRPr="00DD6AA1">
        <w:rPr>
          <w:rFonts w:ascii="Times New Roman" w:eastAsia="Times New Roman" w:hAnsi="Times New Roman" w:cs="Times New Roman"/>
          <w:sz w:val="20"/>
          <w:szCs w:val="20"/>
        </w:rPr>
        <w:t>72</w:t>
      </w:r>
      <w:r w:rsidR="00364267" w:rsidRPr="00DD6AA1">
        <w:rPr>
          <w:rFonts w:ascii="Times New Roman" w:eastAsia="Times New Roman" w:hAnsi="Times New Roman" w:cs="Times New Roman"/>
          <w:sz w:val="20"/>
          <w:szCs w:val="20"/>
        </w:rPr>
        <w:t xml:space="preserve"> ± 2.5</w:t>
      </w:r>
      <w:r w:rsidR="003C49F8" w:rsidRPr="00DD6AA1">
        <w:rPr>
          <w:rFonts w:ascii="Times New Roman" w:eastAsia="Times New Roman" w:hAnsi="Times New Roman" w:cs="Times New Roman"/>
          <w:sz w:val="20"/>
          <w:szCs w:val="20"/>
        </w:rPr>
        <w:t>2</w:t>
      </w:r>
      <w:r w:rsidR="00364267" w:rsidRPr="00DD6AA1">
        <w:rPr>
          <w:rFonts w:ascii="Times New Roman" w:eastAsia="Times New Roman" w:hAnsi="Times New Roman" w:cs="Times New Roman"/>
          <w:sz w:val="20"/>
          <w:szCs w:val="20"/>
        </w:rPr>
        <w:t xml:space="preserve"> </w:t>
      </w:r>
      <w:r w:rsidR="003C49F8" w:rsidRPr="00DD6AA1">
        <w:rPr>
          <w:rFonts w:ascii="Times New Roman" w:eastAsia="Times New Roman" w:hAnsi="Times New Roman" w:cs="Times New Roman"/>
          <w:sz w:val="20"/>
          <w:szCs w:val="20"/>
        </w:rPr>
        <w:t>s</w:t>
      </w:r>
      <w:r w:rsidR="00364267" w:rsidRPr="00DD6AA1">
        <w:rPr>
          <w:rFonts w:ascii="Times New Roman" w:eastAsia="Times New Roman" w:hAnsi="Times New Roman" w:cs="Times New Roman"/>
          <w:sz w:val="20"/>
          <w:szCs w:val="20"/>
        </w:rPr>
        <w:t xml:space="preserve">; </w:t>
      </w:r>
      <w:r w:rsidRPr="00DD6AA1">
        <w:rPr>
          <w:rFonts w:ascii="Times New Roman" w:eastAsia="Times New Roman" w:hAnsi="Times New Roman" w:cs="Times New Roman"/>
          <w:sz w:val="20"/>
          <w:szCs w:val="20"/>
        </w:rPr>
        <w:t>F=13.71; p&lt;0.001) and bottom time was longer (</w:t>
      </w:r>
      <w:r w:rsidR="003C49F8" w:rsidRPr="00DD6AA1">
        <w:rPr>
          <w:rFonts w:ascii="Times New Roman" w:eastAsia="Times New Roman" w:hAnsi="Times New Roman" w:cs="Times New Roman"/>
          <w:sz w:val="20"/>
          <w:szCs w:val="20"/>
        </w:rPr>
        <w:t xml:space="preserve">45.88 ± 1.07 s vs. 49.67 ± 1.29 s; </w:t>
      </w:r>
      <w:r w:rsidRPr="00DD6AA1">
        <w:rPr>
          <w:rFonts w:ascii="Times New Roman" w:eastAsia="Times New Roman" w:hAnsi="Times New Roman" w:cs="Times New Roman"/>
          <w:sz w:val="20"/>
          <w:szCs w:val="20"/>
        </w:rPr>
        <w:t>LMM, F=5.11; p&lt;0.05) than during the early guard (Fig 6). There were also differences between seasons. During the early guard</w:t>
      </w:r>
      <w:r w:rsidR="003C49F8" w:rsidRPr="00DD6AA1">
        <w:rPr>
          <w:rFonts w:ascii="Times New Roman" w:eastAsia="Times New Roman" w:hAnsi="Times New Roman" w:cs="Times New Roman"/>
          <w:sz w:val="20"/>
          <w:szCs w:val="20"/>
        </w:rPr>
        <w:t xml:space="preserve"> in the 2021-2022 season,</w:t>
      </w:r>
      <w:r w:rsidRPr="00DD6AA1">
        <w:rPr>
          <w:rFonts w:ascii="Times New Roman" w:eastAsia="Times New Roman" w:hAnsi="Times New Roman" w:cs="Times New Roman"/>
          <w:sz w:val="20"/>
          <w:szCs w:val="20"/>
        </w:rPr>
        <w:t xml:space="preserve"> dive duration </w:t>
      </w:r>
      <w:r w:rsidR="003C49F8" w:rsidRPr="00DD6AA1">
        <w:rPr>
          <w:rFonts w:ascii="Times New Roman" w:eastAsia="Times New Roman" w:hAnsi="Times New Roman" w:cs="Times New Roman"/>
          <w:sz w:val="20"/>
          <w:szCs w:val="20"/>
        </w:rPr>
        <w:t xml:space="preserve">(83.42 ± 2.44 s vs. 97.38 ± 2.73 s; LMM, F=11.9) </w:t>
      </w:r>
      <w:r w:rsidRPr="00DD6AA1">
        <w:rPr>
          <w:rFonts w:ascii="Times New Roman" w:eastAsia="Times New Roman" w:hAnsi="Times New Roman" w:cs="Times New Roman"/>
          <w:sz w:val="20"/>
          <w:szCs w:val="20"/>
        </w:rPr>
        <w:t>and time spent at the bottom lasted longer (</w:t>
      </w:r>
      <w:r w:rsidR="003C49F8" w:rsidRPr="00DD6AA1">
        <w:rPr>
          <w:rFonts w:ascii="Times New Roman" w:eastAsia="Times New Roman" w:hAnsi="Times New Roman" w:cs="Times New Roman"/>
          <w:sz w:val="20"/>
          <w:szCs w:val="20"/>
        </w:rPr>
        <w:t xml:space="preserve">42.29 ± </w:t>
      </w:r>
      <w:r w:rsidR="008368A6" w:rsidRPr="00DD6AA1">
        <w:rPr>
          <w:rFonts w:ascii="Times New Roman" w:eastAsia="Times New Roman" w:hAnsi="Times New Roman" w:cs="Times New Roman"/>
          <w:sz w:val="20"/>
          <w:szCs w:val="20"/>
        </w:rPr>
        <w:t>1</w:t>
      </w:r>
      <w:r w:rsidR="003C49F8" w:rsidRPr="00DD6AA1">
        <w:rPr>
          <w:rFonts w:ascii="Times New Roman" w:eastAsia="Times New Roman" w:hAnsi="Times New Roman" w:cs="Times New Roman"/>
          <w:sz w:val="20"/>
          <w:szCs w:val="20"/>
        </w:rPr>
        <w:t>.</w:t>
      </w:r>
      <w:r w:rsidR="008368A6" w:rsidRPr="00DD6AA1">
        <w:rPr>
          <w:rFonts w:ascii="Times New Roman" w:eastAsia="Times New Roman" w:hAnsi="Times New Roman" w:cs="Times New Roman"/>
          <w:sz w:val="20"/>
          <w:szCs w:val="20"/>
        </w:rPr>
        <w:t>21</w:t>
      </w:r>
      <w:r w:rsidR="003C49F8" w:rsidRPr="00DD6AA1">
        <w:rPr>
          <w:rFonts w:ascii="Times New Roman" w:eastAsia="Times New Roman" w:hAnsi="Times New Roman" w:cs="Times New Roman"/>
          <w:sz w:val="20"/>
          <w:szCs w:val="20"/>
        </w:rPr>
        <w:t xml:space="preserve"> s vs. </w:t>
      </w:r>
      <w:r w:rsidR="008368A6" w:rsidRPr="00DD6AA1">
        <w:rPr>
          <w:rFonts w:ascii="Times New Roman" w:eastAsia="Times New Roman" w:hAnsi="Times New Roman" w:cs="Times New Roman"/>
          <w:sz w:val="20"/>
          <w:szCs w:val="20"/>
        </w:rPr>
        <w:t>50</w:t>
      </w:r>
      <w:r w:rsidR="003C49F8" w:rsidRPr="00DD6AA1">
        <w:rPr>
          <w:rFonts w:ascii="Times New Roman" w:eastAsia="Times New Roman" w:hAnsi="Times New Roman" w:cs="Times New Roman"/>
          <w:sz w:val="20"/>
          <w:szCs w:val="20"/>
        </w:rPr>
        <w:t>.</w:t>
      </w:r>
      <w:r w:rsidR="008368A6" w:rsidRPr="00DD6AA1">
        <w:rPr>
          <w:rFonts w:ascii="Times New Roman" w:eastAsia="Times New Roman" w:hAnsi="Times New Roman" w:cs="Times New Roman"/>
          <w:sz w:val="20"/>
          <w:szCs w:val="20"/>
        </w:rPr>
        <w:t>35</w:t>
      </w:r>
      <w:r w:rsidR="003C49F8" w:rsidRPr="00DD6AA1">
        <w:rPr>
          <w:rFonts w:ascii="Times New Roman" w:eastAsia="Times New Roman" w:hAnsi="Times New Roman" w:cs="Times New Roman"/>
          <w:sz w:val="20"/>
          <w:szCs w:val="20"/>
        </w:rPr>
        <w:t xml:space="preserve"> ± </w:t>
      </w:r>
      <w:r w:rsidR="008368A6" w:rsidRPr="00DD6AA1">
        <w:rPr>
          <w:rFonts w:ascii="Times New Roman" w:eastAsia="Times New Roman" w:hAnsi="Times New Roman" w:cs="Times New Roman"/>
          <w:sz w:val="20"/>
          <w:szCs w:val="20"/>
        </w:rPr>
        <w:t>1</w:t>
      </w:r>
      <w:r w:rsidR="003C49F8" w:rsidRPr="00DD6AA1">
        <w:rPr>
          <w:rFonts w:ascii="Times New Roman" w:eastAsia="Times New Roman" w:hAnsi="Times New Roman" w:cs="Times New Roman"/>
          <w:sz w:val="20"/>
          <w:szCs w:val="20"/>
        </w:rPr>
        <w:t>.</w:t>
      </w:r>
      <w:r w:rsidR="008368A6" w:rsidRPr="00DD6AA1">
        <w:rPr>
          <w:rFonts w:ascii="Times New Roman" w:eastAsia="Times New Roman" w:hAnsi="Times New Roman" w:cs="Times New Roman"/>
          <w:sz w:val="20"/>
          <w:szCs w:val="20"/>
        </w:rPr>
        <w:t>35</w:t>
      </w:r>
      <w:r w:rsidR="003C49F8" w:rsidRPr="00DD6AA1">
        <w:rPr>
          <w:rFonts w:ascii="Times New Roman" w:eastAsia="Times New Roman" w:hAnsi="Times New Roman" w:cs="Times New Roman"/>
          <w:sz w:val="20"/>
          <w:szCs w:val="20"/>
        </w:rPr>
        <w:t xml:space="preserve"> s;</w:t>
      </w:r>
      <w:r w:rsidRPr="00DD6AA1">
        <w:rPr>
          <w:rFonts w:ascii="Times New Roman" w:eastAsia="Times New Roman" w:hAnsi="Times New Roman" w:cs="Times New Roman"/>
          <w:sz w:val="20"/>
          <w:szCs w:val="20"/>
        </w:rPr>
        <w:t xml:space="preserve"> F=9.91; p&lt;0.001), and maximum depth was deeper (</w:t>
      </w:r>
      <w:r w:rsidR="008368A6" w:rsidRPr="00DD6AA1">
        <w:rPr>
          <w:rFonts w:ascii="Times New Roman" w:eastAsia="Times New Roman" w:hAnsi="Times New Roman" w:cs="Times New Roman"/>
          <w:sz w:val="20"/>
          <w:szCs w:val="20"/>
        </w:rPr>
        <w:t xml:space="preserve">72.46 ± 2.61 m vs. 86.28 ± 2.94 m; </w:t>
      </w:r>
      <w:r w:rsidRPr="00DD6AA1">
        <w:rPr>
          <w:rFonts w:ascii="Times New Roman" w:eastAsia="Times New Roman" w:hAnsi="Times New Roman" w:cs="Times New Roman"/>
          <w:sz w:val="20"/>
          <w:szCs w:val="20"/>
        </w:rPr>
        <w:t xml:space="preserve">LMM, F=9.05; p&lt;0.001) </w:t>
      </w:r>
      <w:r w:rsidR="008368A6" w:rsidRPr="00DD6AA1">
        <w:rPr>
          <w:rFonts w:ascii="Times New Roman" w:eastAsia="Times New Roman" w:hAnsi="Times New Roman" w:cs="Times New Roman"/>
          <w:sz w:val="20"/>
          <w:szCs w:val="20"/>
        </w:rPr>
        <w:t xml:space="preserve">than at the same stage in the </w:t>
      </w:r>
      <w:r w:rsidRPr="00DD6AA1">
        <w:rPr>
          <w:rFonts w:ascii="Times New Roman" w:eastAsia="Times New Roman" w:hAnsi="Times New Roman" w:cs="Times New Roman"/>
          <w:sz w:val="20"/>
          <w:szCs w:val="20"/>
        </w:rPr>
        <w:t>2019-2020 season (Fig 6). On the other hand, during the late guard the only variable that showed significant differences between seasons was foraging frequency, which was higher during the 2020-2021 season (</w:t>
      </w:r>
      <w:r w:rsidR="008368A6" w:rsidRPr="00DD6AA1">
        <w:rPr>
          <w:rFonts w:ascii="Times New Roman" w:eastAsia="Times New Roman" w:hAnsi="Times New Roman" w:cs="Times New Roman"/>
          <w:sz w:val="20"/>
          <w:szCs w:val="20"/>
        </w:rPr>
        <w:t xml:space="preserve">15.21 ± 0.77 vs. 11.31 ± 1.18; </w:t>
      </w:r>
      <w:r w:rsidRPr="00DD6AA1">
        <w:rPr>
          <w:rFonts w:ascii="Times New Roman" w:eastAsia="Times New Roman" w:hAnsi="Times New Roman" w:cs="Times New Roman"/>
          <w:sz w:val="20"/>
          <w:szCs w:val="20"/>
        </w:rPr>
        <w:t>LMM, F=3.78; p&lt;0.05) (Table 2, S4 and Fig 6).</w:t>
      </w:r>
      <w:r w:rsidR="00B62717" w:rsidRPr="00DD6AA1">
        <w:rPr>
          <w:rFonts w:ascii="Times New Roman" w:eastAsia="Times New Roman" w:hAnsi="Times New Roman" w:cs="Times New Roman"/>
          <w:sz w:val="20"/>
          <w:szCs w:val="20"/>
        </w:rPr>
        <w:t xml:space="preserve"> </w:t>
      </w:r>
      <w:r w:rsidR="005E3459" w:rsidRPr="00DD6AA1">
        <w:rPr>
          <w:rFonts w:ascii="Times New Roman" w:eastAsia="Times New Roman" w:hAnsi="Times New Roman" w:cs="Times New Roman"/>
          <w:sz w:val="20"/>
          <w:szCs w:val="20"/>
        </w:rPr>
        <w:t>The indicated values are the mean and standard error for each parameter.</w:t>
      </w:r>
    </w:p>
    <w:p w14:paraId="0425334E" w14:textId="77777777" w:rsidR="005E3459" w:rsidRDefault="005E3459">
      <w:pPr>
        <w:spacing w:line="360" w:lineRule="auto"/>
        <w:jc w:val="both"/>
        <w:rPr>
          <w:rFonts w:ascii="Times New Roman" w:eastAsia="Times New Roman" w:hAnsi="Times New Roman" w:cs="Times New Roman"/>
          <w:sz w:val="20"/>
          <w:szCs w:val="20"/>
        </w:rPr>
      </w:pPr>
    </w:p>
    <w:p w14:paraId="0000005B" w14:textId="77777777" w:rsidR="00D67D77" w:rsidRDefault="00000000" w:rsidP="00302488">
      <w:pPr>
        <w:suppressLineNumbers/>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B043C64" wp14:editId="6C8DB832">
            <wp:extent cx="3023622" cy="3238507"/>
            <wp:effectExtent l="0" t="0" r="0" b="0"/>
            <wp:docPr id="1" name="image2.png" descr="A group of black and white graph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oup of black and white graphs&#10;&#10;Description automatically generated"/>
                    <pic:cNvPicPr preferRelativeResize="0"/>
                  </pic:nvPicPr>
                  <pic:blipFill>
                    <a:blip r:embed="rId20"/>
                    <a:srcRect/>
                    <a:stretch>
                      <a:fillRect/>
                    </a:stretch>
                  </pic:blipFill>
                  <pic:spPr>
                    <a:xfrm>
                      <a:off x="0" y="0"/>
                      <a:ext cx="3023622" cy="3238507"/>
                    </a:xfrm>
                    <a:prstGeom prst="rect">
                      <a:avLst/>
                    </a:prstGeom>
                    <a:ln/>
                  </pic:spPr>
                </pic:pic>
              </a:graphicData>
            </a:graphic>
          </wp:inline>
        </w:drawing>
      </w:r>
    </w:p>
    <w:p w14:paraId="0000005C" w14:textId="5F729A89"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Fig. 6</w:t>
      </w:r>
      <w:r>
        <w:rPr>
          <w:rFonts w:ascii="Times New Roman" w:eastAsia="Times New Roman" w:hAnsi="Times New Roman" w:cs="Times New Roman"/>
          <w:sz w:val="20"/>
          <w:szCs w:val="20"/>
        </w:rPr>
        <w:t xml:space="preserve"> Characteristics of foraging dives of Adélie penguins breeding in </w:t>
      </w:r>
      <w:r w:rsidR="00F74DC7">
        <w:rPr>
          <w:rFonts w:ascii="Times New Roman" w:eastAsia="Times New Roman" w:hAnsi="Times New Roman" w:cs="Times New Roman"/>
          <w:sz w:val="20"/>
          <w:szCs w:val="20"/>
        </w:rPr>
        <w:t>Ardley Island</w:t>
      </w:r>
      <w:r>
        <w:rPr>
          <w:rFonts w:ascii="Times New Roman" w:eastAsia="Times New Roman" w:hAnsi="Times New Roman" w:cs="Times New Roman"/>
          <w:sz w:val="20"/>
          <w:szCs w:val="20"/>
        </w:rPr>
        <w:t>, King George Island, during early and late guard between 2019 and 2022 (e.g. early guard 2019-2020 and 2021-2022: E 19-20, E 21-22; late guard 2020-2021 and 2021-2022: L 20-21, L 21-22. Mean and SE (standard error) calculated from model outputs: a) dive duration (s), b) depth (m), c) maximum trip depth (m), d) bottom time (s), e) number of wiggles, f) foraging frequency. The (*) indicates significant differences between seasons, (**) indicates significant differences between stages and “</w:t>
      </w:r>
      <w:proofErr w:type="spellStart"/>
      <w:r>
        <w:rPr>
          <w:rFonts w:ascii="Times New Roman" w:eastAsia="Times New Roman" w:hAnsi="Times New Roman" w:cs="Times New Roman"/>
          <w:sz w:val="20"/>
          <w:szCs w:val="20"/>
        </w:rPr>
        <w:t>n.s</w:t>
      </w:r>
      <w:proofErr w:type="spellEnd"/>
      <w:r>
        <w:rPr>
          <w:rFonts w:ascii="Times New Roman" w:eastAsia="Times New Roman" w:hAnsi="Times New Roman" w:cs="Times New Roman"/>
          <w:sz w:val="20"/>
          <w:szCs w:val="20"/>
        </w:rPr>
        <w:t>.” indicates no significant differences</w:t>
      </w:r>
    </w:p>
    <w:p w14:paraId="0000005D" w14:textId="77777777" w:rsidR="00D67D77" w:rsidRDefault="00D67D77">
      <w:pPr>
        <w:spacing w:line="360" w:lineRule="auto"/>
        <w:jc w:val="both"/>
        <w:rPr>
          <w:rFonts w:ascii="Times New Roman" w:eastAsia="Times New Roman" w:hAnsi="Times New Roman" w:cs="Times New Roman"/>
          <w:sz w:val="20"/>
          <w:szCs w:val="20"/>
        </w:rPr>
      </w:pPr>
    </w:p>
    <w:p w14:paraId="0000005E" w14:textId="77777777" w:rsidR="00D67D77" w:rsidRDefault="00000000">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DISCUSSION</w:t>
      </w:r>
    </w:p>
    <w:p w14:paraId="0000005F" w14:textId="63FA39F1"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this study, we integrated spatial location, dive, and accelerometry data from Adélie penguins rearing chicks in Ardley Island, King George Island/Isla 25 de Mayo, to characterize their foraging behavior and identify key foraging areas regularly used by a declining colony in an area free of sea-ice throughout the austral summer. During </w:t>
      </w:r>
      <w:r>
        <w:rPr>
          <w:rFonts w:ascii="Times New Roman" w:eastAsia="Times New Roman" w:hAnsi="Times New Roman" w:cs="Times New Roman"/>
          <w:sz w:val="20"/>
          <w:szCs w:val="20"/>
        </w:rPr>
        <w:lastRenderedPageBreak/>
        <w:t>the chick-rearing period, both early and late guard, and across seasons, Adélie penguins breeding in Ardley Island forage in the vicinity of the colony, within Maxwell Bay. Foraging dives comprise roughly 40% of the dives penguins perform during their foraging trips, irrespective of the stage of the chick-rearing period, or the season analyzed. Our results add relevant information on Adélie penguin foraging behavior in a rapidly changing region and to the current debate on small-scale management units for the krill fishery, for which the identification of foraging areas used by predators represents critical information to mitigate potential competition between predators and fisheries (Hinke et al. 2017; Trathan et al. 2022).</w:t>
      </w:r>
    </w:p>
    <w:p w14:paraId="00000060" w14:textId="77777777" w:rsidR="00D67D77" w:rsidRDefault="00D67D77">
      <w:pPr>
        <w:spacing w:line="360" w:lineRule="auto"/>
        <w:jc w:val="both"/>
        <w:rPr>
          <w:rFonts w:ascii="Times New Roman" w:eastAsia="Times New Roman" w:hAnsi="Times New Roman" w:cs="Times New Roman"/>
          <w:sz w:val="20"/>
          <w:szCs w:val="20"/>
        </w:rPr>
      </w:pPr>
    </w:p>
    <w:p w14:paraId="00000061"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Distances </w:t>
      </w:r>
      <w:r w:rsidRPr="00DD6AA1">
        <w:rPr>
          <w:rFonts w:ascii="Times New Roman" w:eastAsia="Times New Roman" w:hAnsi="Times New Roman" w:cs="Times New Roman"/>
          <w:sz w:val="20"/>
          <w:szCs w:val="20"/>
        </w:rPr>
        <w:t xml:space="preserve">covered during the trips, trips duration and area explored changed throughout the breeding season, increasing as the season progressed, </w:t>
      </w:r>
      <w:sdt>
        <w:sdtPr>
          <w:tag w:val="goog_rdk_15"/>
          <w:id w:val="1943640978"/>
        </w:sdtPr>
        <w:sdtContent/>
      </w:sdt>
      <w:r w:rsidRPr="00DD6AA1">
        <w:rPr>
          <w:rFonts w:ascii="Times New Roman" w:eastAsia="Times New Roman" w:hAnsi="Times New Roman" w:cs="Times New Roman"/>
          <w:sz w:val="20"/>
          <w:szCs w:val="20"/>
        </w:rPr>
        <w:t xml:space="preserve">with average duration of trips changing from mean values of 8.6-18.3 h in the early guard to 20.9-22.5 h in the late guard, and </w:t>
      </w:r>
      <w:r>
        <w:rPr>
          <w:rFonts w:ascii="Times New Roman" w:eastAsia="Times New Roman" w:hAnsi="Times New Roman" w:cs="Times New Roman"/>
          <w:sz w:val="20"/>
          <w:szCs w:val="20"/>
        </w:rPr>
        <w:t>mean maximum distance to the colony changed from 6.6-15.2 km in the early guard to 23.8-25.2 km in the late guard. Dive frequency was higher and maximum depth was shallower during the early guard. All other dive parameters did not show any differences between stages, suggesting that trip distance and duration are the</w:t>
      </w:r>
      <w:r>
        <w:rPr>
          <w:sz w:val="20"/>
          <w:szCs w:val="20"/>
        </w:rPr>
        <w:t xml:space="preserve"> </w:t>
      </w:r>
      <w:r>
        <w:rPr>
          <w:rFonts w:ascii="Times New Roman" w:eastAsia="Times New Roman" w:hAnsi="Times New Roman" w:cs="Times New Roman"/>
          <w:sz w:val="20"/>
          <w:szCs w:val="20"/>
        </w:rPr>
        <w:t>key parameters adjusted to account for differences in prey availability or energetic demands as the season progresses. The same was observed when seasons were compared. During the early guard in the 2019-2020 season, Adélie penguins undertook shorter trips, with maximum depth being the only other parameter where differences between seasons was observed. No significant difference was observed between late stages in any parameter. We found no differences between dive characteristics, such as dive duration, time spent at the bottom or number of wiggles, parameters often used to infer foraging effort and success (e.g.,</w:t>
      </w:r>
      <w:r>
        <w:t xml:space="preserve"> </w:t>
      </w:r>
      <w:r>
        <w:rPr>
          <w:rFonts w:ascii="Times New Roman" w:eastAsia="Times New Roman" w:hAnsi="Times New Roman" w:cs="Times New Roman"/>
          <w:sz w:val="20"/>
          <w:szCs w:val="20"/>
        </w:rPr>
        <w:t xml:space="preserve">Bost et al. 2007; Riaz et al. 2020, 2023). </w:t>
      </w:r>
    </w:p>
    <w:p w14:paraId="00000062" w14:textId="77777777" w:rsidR="00D67D77" w:rsidRDefault="00D67D77">
      <w:pPr>
        <w:spacing w:line="360" w:lineRule="auto"/>
        <w:jc w:val="both"/>
        <w:rPr>
          <w:rFonts w:ascii="Times New Roman" w:eastAsia="Times New Roman" w:hAnsi="Times New Roman" w:cs="Times New Roman"/>
          <w:sz w:val="20"/>
          <w:szCs w:val="20"/>
        </w:rPr>
      </w:pPr>
    </w:p>
    <w:p w14:paraId="00000063" w14:textId="33E2D968"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However, when only foraging dives were considered</w:t>
      </w:r>
      <w:r w:rsidR="00F74DC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we observed differences in dive characteristics, with penguins </w:t>
      </w:r>
      <w:r w:rsidRPr="00DD6AA1">
        <w:rPr>
          <w:rFonts w:ascii="Times New Roman" w:eastAsia="Times New Roman" w:hAnsi="Times New Roman" w:cs="Times New Roman"/>
          <w:sz w:val="20"/>
          <w:szCs w:val="20"/>
        </w:rPr>
        <w:t xml:space="preserve">diving deeper, and dive durations and time spent at the bottom lasting longer during the late guard. We also found differences between seasons, with higher maximum dive depth and duration and time spent at the bottom lasting longer during the early guard </w:t>
      </w:r>
      <w:r>
        <w:rPr>
          <w:rFonts w:ascii="Times New Roman" w:eastAsia="Times New Roman" w:hAnsi="Times New Roman" w:cs="Times New Roman"/>
          <w:sz w:val="20"/>
          <w:szCs w:val="20"/>
        </w:rPr>
        <w:t xml:space="preserve">of 2021-2022 and foraging frequency being smaller during the late guard of 2021-2022. These differences </w:t>
      </w:r>
      <w:r w:rsidR="007149AD">
        <w:rPr>
          <w:rFonts w:ascii="Times New Roman" w:eastAsia="Times New Roman" w:hAnsi="Times New Roman" w:cs="Times New Roman"/>
          <w:sz w:val="20"/>
          <w:szCs w:val="20"/>
        </w:rPr>
        <w:t xml:space="preserve">might </w:t>
      </w:r>
      <w:r>
        <w:rPr>
          <w:rFonts w:ascii="Times New Roman" w:eastAsia="Times New Roman" w:hAnsi="Times New Roman" w:cs="Times New Roman"/>
          <w:sz w:val="20"/>
          <w:szCs w:val="20"/>
        </w:rPr>
        <w:t>reflect differences in prey abundance, quality and/or availability (e.g., Riaz et al. 2023), and/or penguin energetic demands as seasons progress. The use of video data in combination with GPS accelerometer tags could help validate behaviors estimates and the number of prey captured, clarifying energetic demand (Watanabe et al. 2013).</w:t>
      </w:r>
    </w:p>
    <w:p w14:paraId="00000064" w14:textId="77777777" w:rsidR="00D67D77" w:rsidRDefault="00D67D77">
      <w:pPr>
        <w:spacing w:line="360" w:lineRule="auto"/>
        <w:jc w:val="both"/>
        <w:rPr>
          <w:rFonts w:ascii="Times New Roman" w:eastAsia="Times New Roman" w:hAnsi="Times New Roman" w:cs="Times New Roman"/>
          <w:sz w:val="20"/>
          <w:szCs w:val="20"/>
        </w:rPr>
      </w:pPr>
    </w:p>
    <w:p w14:paraId="00000065" w14:textId="7BBB498E" w:rsidR="00D67D77" w:rsidRPr="00DD6AA1"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general, the characteristics of Adélie foraging trips during chick-rearing in Ardley Island are comparable to other studies on this species in the early 90s at the same colony and other colonies in the WAP more recently, with maximum distance from the colony of less than 40 km and trip duration of less than 24 hours (Wilson 2002; Oliver et al. 2013; </w:t>
      </w:r>
      <w:r w:rsidRPr="00DD6AA1">
        <w:rPr>
          <w:rFonts w:ascii="Times New Roman" w:eastAsia="Times New Roman" w:hAnsi="Times New Roman" w:cs="Times New Roman"/>
          <w:sz w:val="20"/>
          <w:szCs w:val="20"/>
        </w:rPr>
        <w:t xml:space="preserve">Oosthuizen et al. 2022). When compared to other colonies around Antarctica, values of maximum distance and trip duration in Ardley Island are lower than those reported for colonies in Adélie Land (range values from 6 to 89 km and from 16 to 96 h, Widmann et al. 2015; Michelot et al. 2021), </w:t>
      </w:r>
      <w:proofErr w:type="spellStart"/>
      <w:r w:rsidRPr="00DD6AA1">
        <w:rPr>
          <w:rFonts w:ascii="Times New Roman" w:eastAsia="Times New Roman" w:hAnsi="Times New Roman" w:cs="Times New Roman"/>
          <w:sz w:val="20"/>
          <w:szCs w:val="20"/>
        </w:rPr>
        <w:t>Béchervaise</w:t>
      </w:r>
      <w:proofErr w:type="spellEnd"/>
      <w:r w:rsidRPr="00DD6AA1">
        <w:rPr>
          <w:rFonts w:ascii="Times New Roman" w:eastAsia="Times New Roman" w:hAnsi="Times New Roman" w:cs="Times New Roman"/>
          <w:sz w:val="20"/>
          <w:szCs w:val="20"/>
        </w:rPr>
        <w:t xml:space="preserve"> Island (trip duration between 25 and 73 h, Clarke et al. 1998; Riaz et al. 2020), </w:t>
      </w:r>
      <w:proofErr w:type="spellStart"/>
      <w:r w:rsidRPr="00DD6AA1">
        <w:rPr>
          <w:rFonts w:ascii="Times New Roman" w:eastAsia="Times New Roman" w:hAnsi="Times New Roman" w:cs="Times New Roman"/>
          <w:sz w:val="20"/>
          <w:szCs w:val="20"/>
        </w:rPr>
        <w:t>Prydz</w:t>
      </w:r>
      <w:proofErr w:type="spellEnd"/>
      <w:r w:rsidRPr="00DD6AA1">
        <w:rPr>
          <w:rFonts w:ascii="Times New Roman" w:eastAsia="Times New Roman" w:hAnsi="Times New Roman" w:cs="Times New Roman"/>
          <w:sz w:val="20"/>
          <w:szCs w:val="20"/>
        </w:rPr>
        <w:t xml:space="preserve"> Bay (mean trip duration of 64 h, Watanuki et al. 1997) and in Ross Island (maximum distance values from 25 to 35 km and mean trip duration between 24 and 84 h, Ainley et al. 1998</w:t>
      </w:r>
      <w:r w:rsidRPr="00DD6AA1">
        <w:t>;</w:t>
      </w:r>
      <w:r w:rsidRPr="00DD6AA1">
        <w:rPr>
          <w:rFonts w:ascii="Times New Roman" w:eastAsia="Times New Roman" w:hAnsi="Times New Roman" w:cs="Times New Roman"/>
          <w:sz w:val="20"/>
          <w:szCs w:val="20"/>
        </w:rPr>
        <w:t xml:space="preserve"> Lescroël et al. 2010, 2020). Differences might reflect different environmental conditions between colonies, since both East Antarctica and the Ross Sea r</w:t>
      </w:r>
      <w:r>
        <w:rPr>
          <w:rFonts w:ascii="Times New Roman" w:eastAsia="Times New Roman" w:hAnsi="Times New Roman" w:cs="Times New Roman"/>
          <w:sz w:val="20"/>
          <w:szCs w:val="20"/>
        </w:rPr>
        <w:t xml:space="preserve">egion have sea-ice cover near the colonies during </w:t>
      </w:r>
      <w:r>
        <w:rPr>
          <w:rFonts w:ascii="Times New Roman" w:eastAsia="Times New Roman" w:hAnsi="Times New Roman" w:cs="Times New Roman"/>
          <w:sz w:val="20"/>
          <w:szCs w:val="20"/>
        </w:rPr>
        <w:lastRenderedPageBreak/>
        <w:t xml:space="preserve">the breeding season, whereas Ardley Island has no sea-ice cover at any time during the season. This would be supported by reported values of maximum distance and trip duration similar to those reported in our study, at colonies in East Antarctica during seasons with low sea ice concentration records (Ito et al. 2020; Michelot et al. 2021). Differences could also be due to colony size, given that at small colonies, like Ardley Island, individuals tend to forage closer to the </w:t>
      </w:r>
      <w:r w:rsidRPr="00DD6AA1">
        <w:rPr>
          <w:rFonts w:ascii="Times New Roman" w:eastAsia="Times New Roman" w:hAnsi="Times New Roman" w:cs="Times New Roman"/>
          <w:sz w:val="20"/>
          <w:szCs w:val="20"/>
        </w:rPr>
        <w:t xml:space="preserve">colony than those in larger colonies (Ballance et al. 2009; Patterson et al. 2022). Also, note that several studies have documented that penguins, including </w:t>
      </w:r>
      <w:proofErr w:type="spellStart"/>
      <w:r w:rsidRPr="00DD6AA1">
        <w:rPr>
          <w:rFonts w:ascii="Times New Roman" w:eastAsia="Times New Roman" w:hAnsi="Times New Roman" w:cs="Times New Roman"/>
          <w:sz w:val="20"/>
          <w:szCs w:val="20"/>
        </w:rPr>
        <w:t>pygoscelid</w:t>
      </w:r>
      <w:proofErr w:type="spellEnd"/>
      <w:r w:rsidRPr="00DD6AA1">
        <w:rPr>
          <w:rFonts w:ascii="Times New Roman" w:eastAsia="Times New Roman" w:hAnsi="Times New Roman" w:cs="Times New Roman"/>
          <w:sz w:val="20"/>
          <w:szCs w:val="20"/>
        </w:rPr>
        <w:t xml:space="preserve">, may exhibit sex-specific differences in their foraging behavior (Clarke et al. 1998; Beaulieu et al. 2010; Riaz et al. 2020). </w:t>
      </w:r>
      <w:r w:rsidR="007149AD" w:rsidRPr="00DD6AA1">
        <w:rPr>
          <w:rFonts w:ascii="Times New Roman" w:eastAsia="Times New Roman" w:hAnsi="Times New Roman" w:cs="Times New Roman"/>
          <w:sz w:val="20"/>
          <w:szCs w:val="20"/>
        </w:rPr>
        <w:t>Yet</w:t>
      </w:r>
      <w:r w:rsidRPr="00DD6AA1">
        <w:rPr>
          <w:rFonts w:ascii="Times New Roman" w:eastAsia="Times New Roman" w:hAnsi="Times New Roman" w:cs="Times New Roman"/>
          <w:sz w:val="20"/>
          <w:szCs w:val="20"/>
        </w:rPr>
        <w:t>, sex was only determined for some of the individuals tracked, therefore precluding statistical comparisons due to the small sample size in each season. Hence, there are some behavioral differences that may influence our results that have not been considered in this study.</w:t>
      </w:r>
    </w:p>
    <w:p w14:paraId="00000066" w14:textId="77777777" w:rsidR="00D67D77" w:rsidRDefault="00D67D77">
      <w:pPr>
        <w:spacing w:line="360" w:lineRule="auto"/>
        <w:jc w:val="both"/>
        <w:rPr>
          <w:rFonts w:ascii="Times New Roman" w:eastAsia="Times New Roman" w:hAnsi="Times New Roman" w:cs="Times New Roman"/>
          <w:sz w:val="20"/>
          <w:szCs w:val="20"/>
        </w:rPr>
      </w:pPr>
    </w:p>
    <w:p w14:paraId="00000067" w14:textId="77777777" w:rsidR="00D67D77" w:rsidRPr="006B029F"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During the breeding season parents must meet the increasing energetic demands of chicks by increasing foraging effort (Kato et al. 2003; Ainley et al. 2004; Clarke et al. 2006; Kokubun et al. 2010). In </w:t>
      </w:r>
      <w:proofErr w:type="spellStart"/>
      <w:r>
        <w:rPr>
          <w:rFonts w:ascii="Times New Roman" w:eastAsia="Times New Roman" w:hAnsi="Times New Roman" w:cs="Times New Roman"/>
          <w:sz w:val="20"/>
          <w:szCs w:val="20"/>
        </w:rPr>
        <w:t>Narębski</w:t>
      </w:r>
      <w:proofErr w:type="spellEnd"/>
      <w:r>
        <w:rPr>
          <w:rFonts w:ascii="Times New Roman" w:eastAsia="Times New Roman" w:hAnsi="Times New Roman" w:cs="Times New Roman"/>
          <w:sz w:val="20"/>
          <w:szCs w:val="20"/>
        </w:rPr>
        <w:t xml:space="preserve"> Point (Barton Peninsula), located 10 km away from Ardley Island, Kokubun et al. (2010) shown that, during chick rearing, both chinstrap and gentoo penguins (</w:t>
      </w:r>
      <w:proofErr w:type="spellStart"/>
      <w:r>
        <w:rPr>
          <w:rFonts w:ascii="Times New Roman" w:eastAsia="Times New Roman" w:hAnsi="Times New Roman" w:cs="Times New Roman"/>
          <w:i/>
          <w:sz w:val="20"/>
          <w:szCs w:val="20"/>
        </w:rPr>
        <w:t>Pygoscelis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antarcticus</w:t>
      </w:r>
      <w:proofErr w:type="spellEnd"/>
      <w:r>
        <w:rPr>
          <w:rFonts w:ascii="Times New Roman" w:eastAsia="Times New Roman" w:hAnsi="Times New Roman" w:cs="Times New Roman"/>
          <w:sz w:val="20"/>
          <w:szCs w:val="20"/>
        </w:rPr>
        <w:t xml:space="preserve"> and </w:t>
      </w:r>
      <w:r>
        <w:rPr>
          <w:rFonts w:ascii="Times New Roman" w:eastAsia="Times New Roman" w:hAnsi="Times New Roman" w:cs="Times New Roman"/>
          <w:i/>
          <w:sz w:val="20"/>
          <w:szCs w:val="20"/>
        </w:rPr>
        <w:t xml:space="preserve">P. </w:t>
      </w:r>
      <w:proofErr w:type="spellStart"/>
      <w:r>
        <w:rPr>
          <w:rFonts w:ascii="Times New Roman" w:eastAsia="Times New Roman" w:hAnsi="Times New Roman" w:cs="Times New Roman"/>
          <w:i/>
          <w:sz w:val="20"/>
          <w:szCs w:val="20"/>
        </w:rPr>
        <w:t>papua</w:t>
      </w:r>
      <w:proofErr w:type="spellEnd"/>
      <w:r>
        <w:rPr>
          <w:rFonts w:ascii="Times New Roman" w:eastAsia="Times New Roman" w:hAnsi="Times New Roman" w:cs="Times New Roman"/>
          <w:sz w:val="20"/>
          <w:szCs w:val="20"/>
        </w:rPr>
        <w:t>) move away from the colony as the season progresses, and attributed this to a reduction in prey availability around the colony. Competition for food resources has been proposed as a regulating mechanism of pelagic seabird populations by prey depletion near the colony (‘</w:t>
      </w:r>
      <w:proofErr w:type="spellStart"/>
      <w:r>
        <w:rPr>
          <w:rFonts w:ascii="Times New Roman" w:eastAsia="Times New Roman" w:hAnsi="Times New Roman" w:cs="Times New Roman"/>
          <w:sz w:val="20"/>
          <w:szCs w:val="20"/>
        </w:rPr>
        <w:t>Ashmole’s</w:t>
      </w:r>
      <w:proofErr w:type="spellEnd"/>
      <w:r>
        <w:rPr>
          <w:rFonts w:ascii="Times New Roman" w:eastAsia="Times New Roman" w:hAnsi="Times New Roman" w:cs="Times New Roman"/>
          <w:sz w:val="20"/>
          <w:szCs w:val="20"/>
        </w:rPr>
        <w:t xml:space="preserve"> halo’), forcing individuals to forage further (Birt et al.1987; Ballance et al. 2009; Patterson et al. 2022). Although the Adélie penguin colony in Ardley Island is small, many other penguins nesting on the same island and in nearby colonies may contribute to prey depletion within Maxwell Bay. The increase in foraging </w:t>
      </w:r>
      <w:r w:rsidRPr="006B029F">
        <w:rPr>
          <w:rFonts w:ascii="Times New Roman" w:eastAsia="Times New Roman" w:hAnsi="Times New Roman" w:cs="Times New Roman"/>
          <w:sz w:val="20"/>
          <w:szCs w:val="20"/>
        </w:rPr>
        <w:t>distance as the season progresses observed in our study might be reflecting this process.</w:t>
      </w:r>
    </w:p>
    <w:p w14:paraId="00000068" w14:textId="77777777" w:rsidR="00D67D77" w:rsidRPr="006B029F" w:rsidRDefault="00D67D77">
      <w:pPr>
        <w:spacing w:line="360" w:lineRule="auto"/>
        <w:jc w:val="both"/>
        <w:rPr>
          <w:rFonts w:ascii="Times New Roman" w:eastAsia="Times New Roman" w:hAnsi="Times New Roman" w:cs="Times New Roman"/>
          <w:sz w:val="20"/>
          <w:szCs w:val="20"/>
        </w:rPr>
      </w:pPr>
    </w:p>
    <w:p w14:paraId="00000069" w14:textId="77777777" w:rsidR="00D67D77" w:rsidRDefault="00000000">
      <w:pPr>
        <w:spacing w:line="360" w:lineRule="auto"/>
        <w:jc w:val="both"/>
        <w:rPr>
          <w:rFonts w:ascii="Times New Roman" w:eastAsia="Times New Roman" w:hAnsi="Times New Roman" w:cs="Times New Roman"/>
          <w:sz w:val="20"/>
          <w:szCs w:val="20"/>
        </w:rPr>
      </w:pPr>
      <w:r w:rsidRPr="006B029F">
        <w:rPr>
          <w:rFonts w:ascii="Times New Roman" w:eastAsia="Times New Roman" w:hAnsi="Times New Roman" w:cs="Times New Roman"/>
          <w:sz w:val="20"/>
          <w:szCs w:val="20"/>
        </w:rPr>
        <w:t xml:space="preserve">On the other hand, the differences in foraging behavior observed between seasons might reflect inter-annual variability in krill availability. In the vicinity of our study area </w:t>
      </w:r>
      <w:proofErr w:type="spellStart"/>
      <w:r w:rsidRPr="006B029F">
        <w:rPr>
          <w:rFonts w:ascii="Times New Roman" w:eastAsia="Times New Roman" w:hAnsi="Times New Roman" w:cs="Times New Roman"/>
          <w:sz w:val="20"/>
          <w:szCs w:val="20"/>
        </w:rPr>
        <w:t>Salmerón</w:t>
      </w:r>
      <w:proofErr w:type="spellEnd"/>
      <w:r w:rsidRPr="006B029F">
        <w:rPr>
          <w:rFonts w:ascii="Times New Roman" w:eastAsia="Times New Roman" w:hAnsi="Times New Roman" w:cs="Times New Roman"/>
          <w:sz w:val="20"/>
          <w:szCs w:val="20"/>
        </w:rPr>
        <w:t xml:space="preserve"> et al. (2023) reported direct evidence of lower krill abundance in 2021-2022 than in 2019-2020. They showed that chinstrap penguins breeding less than 20 km away from our study area, in Nelson Island, </w:t>
      </w:r>
      <w:r>
        <w:rPr>
          <w:rFonts w:ascii="Times New Roman" w:eastAsia="Times New Roman" w:hAnsi="Times New Roman" w:cs="Times New Roman"/>
          <w:sz w:val="20"/>
          <w:szCs w:val="20"/>
        </w:rPr>
        <w:t>substantially increased their foraging effort during the year of low krill availability, supporting our interpretation that the differences observed in the foraging behavior of Adélie penguins in Ardley Island also reflects variations in prey availability during the study period. Our observations have also been also evidenced for Adélie penguins in different colonies around Antarctica which in response to changes in energy demand and/or prey availability/size tend to modify the distance and duration of foraging trips (Watanuki et al. 1993; Fraser and Hofmann 2003; Ainley et al. 2015; Lescroël et al. 2020), the depth of dives (Lescroël et al. 2023; Ainley et al. 2015) and/or the type of prey (Cherel 2008; Jarman et al. 2013; Ainley et al. 2018).</w:t>
      </w:r>
    </w:p>
    <w:p w14:paraId="0000006A" w14:textId="77777777" w:rsidR="00D67D77" w:rsidRDefault="00D67D77">
      <w:pPr>
        <w:spacing w:line="360" w:lineRule="auto"/>
        <w:jc w:val="both"/>
        <w:rPr>
          <w:rFonts w:ascii="Times New Roman" w:eastAsia="Times New Roman" w:hAnsi="Times New Roman" w:cs="Times New Roman"/>
          <w:sz w:val="20"/>
          <w:szCs w:val="20"/>
        </w:rPr>
      </w:pPr>
    </w:p>
    <w:p w14:paraId="0000006B" w14:textId="7ABF3E7D" w:rsidR="00D67D77" w:rsidRDefault="00000000">
      <w:pPr>
        <w:spacing w:line="360" w:lineRule="auto"/>
        <w:jc w:val="both"/>
        <w:rPr>
          <w:rFonts w:ascii="Times New Roman" w:eastAsia="Times New Roman" w:hAnsi="Times New Roman" w:cs="Times New Roman"/>
          <w:sz w:val="20"/>
          <w:szCs w:val="20"/>
        </w:rPr>
      </w:pPr>
      <w:r w:rsidRPr="006B029F">
        <w:rPr>
          <w:rFonts w:ascii="Times New Roman" w:eastAsia="Times New Roman" w:hAnsi="Times New Roman" w:cs="Times New Roman"/>
          <w:sz w:val="20"/>
          <w:szCs w:val="20"/>
        </w:rPr>
        <w:t xml:space="preserve">Our accelerometry-data-based approach showed that the core foraging area of the colony is located within Maxwell Bay, 10 km off the colony, with this area being systematically used by more than 60% of the population throughout the seasons and across seasons. We also observed that nearly 20% of the population uses the area close to Orca Seamount for foraging (35 km from the colony), mainly during the late guard stage or during periods of low prey availability. </w:t>
      </w:r>
      <w:r w:rsidR="007149AD" w:rsidRPr="006B029F">
        <w:rPr>
          <w:rFonts w:ascii="Times New Roman" w:eastAsia="Times New Roman" w:hAnsi="Times New Roman" w:cs="Times New Roman"/>
          <w:sz w:val="20"/>
          <w:szCs w:val="20"/>
        </w:rPr>
        <w:t>Lee et al. (2021) report s</w:t>
      </w:r>
      <w:r w:rsidRPr="006B029F">
        <w:rPr>
          <w:rFonts w:ascii="Times New Roman" w:eastAsia="Times New Roman" w:hAnsi="Times New Roman" w:cs="Times New Roman"/>
          <w:sz w:val="20"/>
          <w:szCs w:val="20"/>
        </w:rPr>
        <w:t xml:space="preserve">imilar observations </w:t>
      </w:r>
      <w:r>
        <w:rPr>
          <w:rFonts w:ascii="Times New Roman" w:eastAsia="Times New Roman" w:hAnsi="Times New Roman" w:cs="Times New Roman"/>
          <w:sz w:val="20"/>
          <w:szCs w:val="20"/>
        </w:rPr>
        <w:t xml:space="preserve">for the gentoo and chinstrap colonies breeding in Ardley Island. Both species foraged in the </w:t>
      </w:r>
      <w:r w:rsidR="007149AD">
        <w:rPr>
          <w:rFonts w:ascii="Times New Roman" w:eastAsia="Times New Roman" w:hAnsi="Times New Roman" w:cs="Times New Roman"/>
          <w:sz w:val="20"/>
          <w:szCs w:val="20"/>
        </w:rPr>
        <w:t>vicinity of the c</w:t>
      </w:r>
      <w:r>
        <w:rPr>
          <w:rFonts w:ascii="Times New Roman" w:eastAsia="Times New Roman" w:hAnsi="Times New Roman" w:cs="Times New Roman"/>
          <w:sz w:val="20"/>
          <w:szCs w:val="20"/>
        </w:rPr>
        <w:t xml:space="preserve">olony, within the Maxwell Bay, evidencing a clear overlap of </w:t>
      </w:r>
      <w:r>
        <w:rPr>
          <w:rFonts w:ascii="Times New Roman" w:eastAsia="Times New Roman" w:hAnsi="Times New Roman" w:cs="Times New Roman"/>
          <w:sz w:val="20"/>
          <w:szCs w:val="20"/>
        </w:rPr>
        <w:lastRenderedPageBreak/>
        <w:t xml:space="preserve">foraging area of three species of </w:t>
      </w:r>
      <w:proofErr w:type="spellStart"/>
      <w:r>
        <w:rPr>
          <w:rFonts w:ascii="Times New Roman" w:eastAsia="Times New Roman" w:hAnsi="Times New Roman" w:cs="Times New Roman"/>
          <w:sz w:val="20"/>
          <w:szCs w:val="20"/>
        </w:rPr>
        <w:t>pygoscelid</w:t>
      </w:r>
      <w:proofErr w:type="spellEnd"/>
      <w:r>
        <w:rPr>
          <w:rFonts w:ascii="Times New Roman" w:eastAsia="Times New Roman" w:hAnsi="Times New Roman" w:cs="Times New Roman"/>
          <w:sz w:val="20"/>
          <w:szCs w:val="20"/>
        </w:rPr>
        <w:t xml:space="preserve"> penguins breeding in the island. They also reported, as did Kokubun et al. (2015), that the Orca Seamount area is a foraging hotspot used by </w:t>
      </w:r>
      <w:proofErr w:type="spellStart"/>
      <w:r>
        <w:rPr>
          <w:rFonts w:ascii="Times New Roman" w:eastAsia="Times New Roman" w:hAnsi="Times New Roman" w:cs="Times New Roman"/>
          <w:sz w:val="20"/>
          <w:szCs w:val="20"/>
        </w:rPr>
        <w:t>Narębski</w:t>
      </w:r>
      <w:proofErr w:type="spellEnd"/>
      <w:r>
        <w:rPr>
          <w:rFonts w:ascii="Times New Roman" w:eastAsia="Times New Roman" w:hAnsi="Times New Roman" w:cs="Times New Roman"/>
          <w:sz w:val="20"/>
          <w:szCs w:val="20"/>
        </w:rPr>
        <w:t xml:space="preserve"> Point's chinstrap and gentoo populations. Studies on Adélie penguins at </w:t>
      </w:r>
      <w:proofErr w:type="spellStart"/>
      <w:r>
        <w:rPr>
          <w:rFonts w:ascii="Times New Roman" w:eastAsia="Times New Roman" w:hAnsi="Times New Roman" w:cs="Times New Roman"/>
          <w:sz w:val="20"/>
          <w:szCs w:val="20"/>
        </w:rPr>
        <w:t>Anver</w:t>
      </w:r>
      <w:proofErr w:type="spellEnd"/>
      <w:r>
        <w:rPr>
          <w:rFonts w:ascii="Times New Roman" w:eastAsia="Times New Roman" w:hAnsi="Times New Roman" w:cs="Times New Roman"/>
          <w:sz w:val="20"/>
          <w:szCs w:val="20"/>
        </w:rPr>
        <w:t xml:space="preserve"> Island report similar behavior</w:t>
      </w:r>
      <w:r w:rsidR="007149AD">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short foraging trips (8-25 km) associated with a submarine canyon near the colony (Oliver et al. 2019; Nardelli et al. 2021). This kind of bathymetric features, such as submarine canyons and seamounts appear to increase zooplankton availability through physical processes that affect the vertical distribution of nutrients, such as upwelling, </w:t>
      </w:r>
      <w:r w:rsidR="007149AD">
        <w:rPr>
          <w:rFonts w:ascii="Times New Roman" w:eastAsia="Times New Roman" w:hAnsi="Times New Roman" w:cs="Times New Roman"/>
          <w:sz w:val="20"/>
          <w:szCs w:val="20"/>
        </w:rPr>
        <w:t xml:space="preserve">thus, constituting </w:t>
      </w:r>
      <w:r>
        <w:rPr>
          <w:rFonts w:ascii="Times New Roman" w:eastAsia="Times New Roman" w:hAnsi="Times New Roman" w:cs="Times New Roman"/>
          <w:sz w:val="20"/>
          <w:szCs w:val="20"/>
        </w:rPr>
        <w:t xml:space="preserve">important areas for marine predators (Clarke et al. 2006; Santora and Reiss 2011). </w:t>
      </w:r>
    </w:p>
    <w:p w14:paraId="0000006C" w14:textId="77777777" w:rsidR="00D67D77" w:rsidRDefault="00D67D77">
      <w:pPr>
        <w:spacing w:line="360" w:lineRule="auto"/>
        <w:jc w:val="both"/>
        <w:rPr>
          <w:rFonts w:ascii="Times New Roman" w:eastAsia="Times New Roman" w:hAnsi="Times New Roman" w:cs="Times New Roman"/>
          <w:sz w:val="20"/>
          <w:szCs w:val="20"/>
        </w:rPr>
      </w:pPr>
    </w:p>
    <w:p w14:paraId="006E8108" w14:textId="39E674C4" w:rsidR="007149AD" w:rsidRPr="006B029F"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Understanding the predator-prey interactions at small scales is critical for ecosystem conservation planning and resource management (Watters et al. 2020; Trathan et al. 2022). </w:t>
      </w:r>
      <w:r w:rsidRPr="00A108A6">
        <w:rPr>
          <w:rFonts w:ascii="Times New Roman" w:eastAsia="Times New Roman" w:hAnsi="Times New Roman" w:cs="Times New Roman"/>
          <w:sz w:val="20"/>
          <w:szCs w:val="20"/>
        </w:rPr>
        <w:t xml:space="preserve">As krill catches intensify in the Western Antarctic Peninsula, particularly in coastal </w:t>
      </w:r>
      <w:r w:rsidRPr="006B029F">
        <w:rPr>
          <w:rFonts w:ascii="Times New Roman" w:eastAsia="Times New Roman" w:hAnsi="Times New Roman" w:cs="Times New Roman"/>
          <w:sz w:val="20"/>
          <w:szCs w:val="20"/>
        </w:rPr>
        <w:t>areas, there is an increasing need for ecological data at small spatial and temporal scales to inform potential overlap and conflicts. Although fishing in Maxwell Bay is not currently significant, King George Island is located within one of the regions that concentrates most of the krill fishing activity (e.g., Hinke et al. 2017). Identifying relevant foraging areas in the vicinity of other penguin colonies in the northern shelf of the South Shetland Islands and Bransfield Strait, where krill fishery currently concentrates, would enable small-scale conservation measures for implementing small-scale management of the krill fishery in the region, as well as other conservation measures (e.g., Hogg et al. 2020). Here, we propose an accelerometry-data-based approach to identify these areas.</w:t>
      </w:r>
      <w:r w:rsidR="007149AD" w:rsidRPr="006B029F">
        <w:rPr>
          <w:rFonts w:ascii="Times New Roman" w:eastAsia="Times New Roman" w:hAnsi="Times New Roman" w:cs="Times New Roman"/>
          <w:sz w:val="20"/>
          <w:szCs w:val="20"/>
        </w:rPr>
        <w:t xml:space="preserve"> Implementing conservation measures aimed at avoiding additional pressures on the main foraging areas, or the areas to which colonies resort when the availability of prey decreases, might play a key role in diminishing the potential impact of fisheries on predator populations.</w:t>
      </w:r>
    </w:p>
    <w:p w14:paraId="7648BB4E" w14:textId="77777777" w:rsidR="007149AD" w:rsidRPr="006B029F" w:rsidRDefault="007149AD">
      <w:pPr>
        <w:spacing w:line="360" w:lineRule="auto"/>
        <w:jc w:val="both"/>
        <w:rPr>
          <w:rFonts w:ascii="Times New Roman" w:eastAsia="Times New Roman" w:hAnsi="Times New Roman" w:cs="Times New Roman"/>
          <w:sz w:val="20"/>
          <w:szCs w:val="20"/>
        </w:rPr>
      </w:pPr>
    </w:p>
    <w:p w14:paraId="0000006D" w14:textId="62CE29E0" w:rsidR="00D67D77" w:rsidRDefault="007149AD">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Under current environmental changes in the WAP, southward contraction and krill biomass reduction trends are expected to continue, linked to positive trends in Southern Annular Mode (SAM) anomalies, which are associated with warm, windy and cloudy weather and reduced sea ice (Atkinson et al. 2019). With reduced prey availability, changes in foraging behavior and reproductive success of penguins are expected, such as those already observed by Cimino et al. (2023) on </w:t>
      </w:r>
      <w:proofErr w:type="spellStart"/>
      <w:r>
        <w:rPr>
          <w:rFonts w:ascii="Times New Roman" w:eastAsia="Times New Roman" w:hAnsi="Times New Roman" w:cs="Times New Roman"/>
          <w:sz w:val="20"/>
          <w:szCs w:val="20"/>
        </w:rPr>
        <w:t>Anver</w:t>
      </w:r>
      <w:proofErr w:type="spellEnd"/>
      <w:r>
        <w:rPr>
          <w:rFonts w:ascii="Times New Roman" w:eastAsia="Times New Roman" w:hAnsi="Times New Roman" w:cs="Times New Roman"/>
          <w:sz w:val="20"/>
          <w:szCs w:val="20"/>
        </w:rPr>
        <w:t xml:space="preserve"> Island in years with early sea ice retreat and by </w:t>
      </w:r>
      <w:proofErr w:type="spellStart"/>
      <w:r>
        <w:rPr>
          <w:rFonts w:ascii="Times New Roman" w:eastAsia="Times New Roman" w:hAnsi="Times New Roman" w:cs="Times New Roman"/>
          <w:sz w:val="20"/>
          <w:szCs w:val="20"/>
        </w:rPr>
        <w:t>Salmerón</w:t>
      </w:r>
      <w:proofErr w:type="spellEnd"/>
      <w:r>
        <w:rPr>
          <w:rFonts w:ascii="Times New Roman" w:eastAsia="Times New Roman" w:hAnsi="Times New Roman" w:cs="Times New Roman"/>
          <w:sz w:val="20"/>
          <w:szCs w:val="20"/>
        </w:rPr>
        <w:t xml:space="preserve"> et al. (2023) associated with winter sea ice scarcity and likely deepening of the mixed layer resulting from stronger winds. Recently, it has been suggested that the coupling of climatic events and fisheries may exacerbate local effects on krill availability, affecting penguin breeding populations (Watters et al. 2020; Krüger et al. 2021). </w:t>
      </w:r>
      <w:sdt>
        <w:sdtPr>
          <w:tag w:val="goog_rdk_16"/>
          <w:id w:val="-1037035737"/>
        </w:sdtPr>
        <w:sdtContent>
          <w:sdt>
            <w:sdtPr>
              <w:tag w:val="goog_rdk_17"/>
              <w:id w:val="-1382856167"/>
            </w:sdtPr>
            <w:sdtContent/>
          </w:sdt>
        </w:sdtContent>
      </w:sdt>
      <w:r w:rsidR="006B029F">
        <w:rPr>
          <w:rFonts w:ascii="Times New Roman" w:eastAsia="Times New Roman" w:hAnsi="Times New Roman" w:cs="Times New Roman"/>
          <w:sz w:val="20"/>
          <w:szCs w:val="20"/>
        </w:rPr>
        <w:t xml:space="preserve">Thus, </w:t>
      </w:r>
      <w:sdt>
        <w:sdtPr>
          <w:tag w:val="goog_rdk_20"/>
          <w:id w:val="-2136552924"/>
        </w:sdtPr>
        <w:sdtContent>
          <w:r>
            <w:rPr>
              <w:rFonts w:ascii="Times New Roman" w:eastAsia="Times New Roman" w:hAnsi="Times New Roman" w:cs="Times New Roman"/>
              <w:sz w:val="20"/>
              <w:szCs w:val="20"/>
            </w:rPr>
            <w:t>i</w:t>
          </w:r>
        </w:sdtContent>
      </w:sdt>
      <w:r>
        <w:rPr>
          <w:rFonts w:ascii="Times New Roman" w:eastAsia="Times New Roman" w:hAnsi="Times New Roman" w:cs="Times New Roman"/>
          <w:sz w:val="20"/>
          <w:szCs w:val="20"/>
        </w:rPr>
        <w:t>n the WAP, identifying local foraging hotspots</w:t>
      </w:r>
      <w:r w:rsidR="006B029F" w:rsidRPr="006B029F">
        <w:t xml:space="preserve"> </w:t>
      </w:r>
      <w:r w:rsidR="006B029F" w:rsidRPr="006B029F">
        <w:rPr>
          <w:rFonts w:ascii="Times New Roman" w:eastAsia="Times New Roman" w:hAnsi="Times New Roman" w:cs="Times New Roman"/>
          <w:sz w:val="20"/>
          <w:szCs w:val="20"/>
        </w:rPr>
        <w:t>for krill-dependent predators</w:t>
      </w:r>
      <w:r>
        <w:rPr>
          <w:rFonts w:ascii="Times New Roman" w:eastAsia="Times New Roman" w:hAnsi="Times New Roman" w:cs="Times New Roman"/>
          <w:sz w:val="20"/>
          <w:szCs w:val="20"/>
        </w:rPr>
        <w:t>, might be crucial for determining areas of ecological importance that require consideration in management measures.</w:t>
      </w:r>
    </w:p>
    <w:p w14:paraId="0000006E" w14:textId="686A58B4" w:rsidR="00D67D77" w:rsidRDefault="00D67D77">
      <w:pPr>
        <w:spacing w:line="360" w:lineRule="auto"/>
        <w:rPr>
          <w:rFonts w:ascii="Open Sans" w:eastAsia="Open Sans" w:hAnsi="Open Sans" w:cs="Open Sans"/>
          <w:color w:val="1C1D1E"/>
          <w:sz w:val="21"/>
          <w:szCs w:val="21"/>
          <w:highlight w:val="white"/>
        </w:rPr>
      </w:pPr>
    </w:p>
    <w:p w14:paraId="21933715" w14:textId="77777777" w:rsidR="00E676E8" w:rsidRDefault="00E676E8" w:rsidP="00E676E8">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Acknowledgments</w:t>
      </w:r>
    </w:p>
    <w:p w14:paraId="27B4E56A" w14:textId="77777777" w:rsidR="00E676E8" w:rsidRDefault="00E676E8" w:rsidP="00E676E8">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article is part of Ana Laura Machado's doctoral thesis, funded by </w:t>
      </w:r>
      <w:proofErr w:type="spellStart"/>
      <w:r>
        <w:rPr>
          <w:rFonts w:ascii="Times New Roman" w:eastAsia="Times New Roman" w:hAnsi="Times New Roman" w:cs="Times New Roman"/>
          <w:sz w:val="20"/>
          <w:szCs w:val="20"/>
        </w:rPr>
        <w:t>Agencia</w:t>
      </w:r>
      <w:proofErr w:type="spellEnd"/>
      <w:r>
        <w:rPr>
          <w:rFonts w:ascii="Times New Roman" w:eastAsia="Times New Roman" w:hAnsi="Times New Roman" w:cs="Times New Roman"/>
          <w:sz w:val="20"/>
          <w:szCs w:val="20"/>
        </w:rPr>
        <w:t xml:space="preserve"> Nacional de </w:t>
      </w:r>
      <w:proofErr w:type="spellStart"/>
      <w:r>
        <w:rPr>
          <w:rFonts w:ascii="Times New Roman" w:eastAsia="Times New Roman" w:hAnsi="Times New Roman" w:cs="Times New Roman"/>
          <w:sz w:val="20"/>
          <w:szCs w:val="20"/>
        </w:rPr>
        <w:t>Investigación</w:t>
      </w:r>
      <w:proofErr w:type="spellEnd"/>
      <w:r>
        <w:rPr>
          <w:rFonts w:ascii="Times New Roman" w:eastAsia="Times New Roman" w:hAnsi="Times New Roman" w:cs="Times New Roman"/>
          <w:sz w:val="20"/>
          <w:szCs w:val="20"/>
        </w:rPr>
        <w:t xml:space="preserve"> e </w:t>
      </w:r>
      <w:proofErr w:type="spellStart"/>
      <w:r>
        <w:rPr>
          <w:rFonts w:ascii="Times New Roman" w:eastAsia="Times New Roman" w:hAnsi="Times New Roman" w:cs="Times New Roman"/>
          <w:sz w:val="20"/>
          <w:szCs w:val="20"/>
        </w:rPr>
        <w:t>Innovación</w:t>
      </w:r>
      <w:proofErr w:type="spellEnd"/>
      <w:r>
        <w:rPr>
          <w:rFonts w:ascii="Times New Roman" w:eastAsia="Times New Roman" w:hAnsi="Times New Roman" w:cs="Times New Roman"/>
          <w:sz w:val="20"/>
          <w:szCs w:val="20"/>
        </w:rPr>
        <w:t xml:space="preserve"> (ANII) (POS_NAC_2021_1_169785). The authors are thankful to all people involved in fieldwork. In memoriam to Andres Barbosa, a mentor and dear friend who will be greatly missed by all of us. </w:t>
      </w:r>
    </w:p>
    <w:p w14:paraId="52D9DDA9" w14:textId="77777777" w:rsidR="00E676E8" w:rsidRDefault="00E676E8">
      <w:pPr>
        <w:spacing w:line="360" w:lineRule="auto"/>
        <w:rPr>
          <w:rFonts w:ascii="Open Sans" w:eastAsia="Open Sans" w:hAnsi="Open Sans" w:cs="Open Sans"/>
          <w:color w:val="1C1D1E"/>
          <w:sz w:val="21"/>
          <w:szCs w:val="21"/>
          <w:highlight w:val="white"/>
        </w:rPr>
      </w:pPr>
    </w:p>
    <w:p w14:paraId="6381DB9C" w14:textId="7EBB1D5C" w:rsidR="00D66CE1" w:rsidRDefault="00D66CE1">
      <w:pPr>
        <w:spacing w:line="360" w:lineRule="auto"/>
        <w:rPr>
          <w:rFonts w:ascii="Times New Roman" w:eastAsia="Times New Roman" w:hAnsi="Times New Roman" w:cs="Times New Roman"/>
          <w:b/>
          <w:sz w:val="20"/>
          <w:szCs w:val="20"/>
        </w:rPr>
      </w:pPr>
      <w:r w:rsidRPr="00D66CE1">
        <w:rPr>
          <w:rFonts w:ascii="Times New Roman" w:eastAsia="Times New Roman" w:hAnsi="Times New Roman" w:cs="Times New Roman"/>
          <w:b/>
          <w:sz w:val="20"/>
          <w:szCs w:val="20"/>
        </w:rPr>
        <w:t>Declarations</w:t>
      </w:r>
    </w:p>
    <w:p w14:paraId="1D46E1B2" w14:textId="61C4F254" w:rsidR="00D66CE1" w:rsidRDefault="00D66CE1">
      <w:pPr>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Funding </w:t>
      </w:r>
    </w:p>
    <w:p w14:paraId="5B915FAC" w14:textId="50DF52A1" w:rsidR="00D66CE1" w:rsidRDefault="00D66CE1">
      <w:pPr>
        <w:spacing w:line="360" w:lineRule="auto"/>
        <w:rPr>
          <w:rFonts w:ascii="Times New Roman" w:eastAsia="Times New Roman" w:hAnsi="Times New Roman" w:cs="Times New Roman"/>
          <w:sz w:val="20"/>
          <w:szCs w:val="20"/>
        </w:rPr>
      </w:pPr>
      <w:r w:rsidRPr="00D66CE1">
        <w:rPr>
          <w:rFonts w:ascii="Times New Roman" w:eastAsia="Times New Roman" w:hAnsi="Times New Roman" w:cs="Times New Roman"/>
          <w:sz w:val="20"/>
          <w:szCs w:val="20"/>
        </w:rPr>
        <w:lastRenderedPageBreak/>
        <w:t xml:space="preserve">This work was supported by Instituto </w:t>
      </w:r>
      <w:proofErr w:type="spellStart"/>
      <w:r w:rsidRPr="00D66CE1">
        <w:rPr>
          <w:rFonts w:ascii="Times New Roman" w:eastAsia="Times New Roman" w:hAnsi="Times New Roman" w:cs="Times New Roman"/>
          <w:sz w:val="20"/>
          <w:szCs w:val="20"/>
        </w:rPr>
        <w:t>Antártico</w:t>
      </w:r>
      <w:proofErr w:type="spellEnd"/>
      <w:r w:rsidRPr="00D66CE1">
        <w:rPr>
          <w:rFonts w:ascii="Times New Roman" w:eastAsia="Times New Roman" w:hAnsi="Times New Roman" w:cs="Times New Roman"/>
          <w:sz w:val="20"/>
          <w:szCs w:val="20"/>
        </w:rPr>
        <w:t xml:space="preserve"> </w:t>
      </w:r>
      <w:proofErr w:type="spellStart"/>
      <w:r w:rsidRPr="00D66CE1">
        <w:rPr>
          <w:rFonts w:ascii="Times New Roman" w:eastAsia="Times New Roman" w:hAnsi="Times New Roman" w:cs="Times New Roman"/>
          <w:sz w:val="20"/>
          <w:szCs w:val="20"/>
        </w:rPr>
        <w:t>Uruguayo</w:t>
      </w:r>
      <w:proofErr w:type="spellEnd"/>
      <w:r w:rsidRPr="00D66CE1">
        <w:rPr>
          <w:rFonts w:ascii="Times New Roman" w:eastAsia="Times New Roman" w:hAnsi="Times New Roman" w:cs="Times New Roman"/>
          <w:sz w:val="20"/>
          <w:szCs w:val="20"/>
        </w:rPr>
        <w:t xml:space="preserve"> (IAU), </w:t>
      </w:r>
      <w:proofErr w:type="spellStart"/>
      <w:r w:rsidRPr="00D66CE1">
        <w:rPr>
          <w:rFonts w:ascii="Times New Roman" w:eastAsia="Times New Roman" w:hAnsi="Times New Roman" w:cs="Times New Roman"/>
          <w:sz w:val="20"/>
          <w:szCs w:val="20"/>
        </w:rPr>
        <w:t>Agencia</w:t>
      </w:r>
      <w:proofErr w:type="spellEnd"/>
      <w:r w:rsidRPr="00D66CE1">
        <w:rPr>
          <w:rFonts w:ascii="Times New Roman" w:eastAsia="Times New Roman" w:hAnsi="Times New Roman" w:cs="Times New Roman"/>
          <w:sz w:val="20"/>
          <w:szCs w:val="20"/>
        </w:rPr>
        <w:t xml:space="preserve"> Nacional de </w:t>
      </w:r>
      <w:proofErr w:type="spellStart"/>
      <w:r w:rsidRPr="00D66CE1">
        <w:rPr>
          <w:rFonts w:ascii="Times New Roman" w:eastAsia="Times New Roman" w:hAnsi="Times New Roman" w:cs="Times New Roman"/>
          <w:sz w:val="20"/>
          <w:szCs w:val="20"/>
        </w:rPr>
        <w:t>Investigación</w:t>
      </w:r>
      <w:proofErr w:type="spellEnd"/>
      <w:r w:rsidRPr="00D66CE1">
        <w:rPr>
          <w:rFonts w:ascii="Times New Roman" w:eastAsia="Times New Roman" w:hAnsi="Times New Roman" w:cs="Times New Roman"/>
          <w:sz w:val="20"/>
          <w:szCs w:val="20"/>
        </w:rPr>
        <w:t xml:space="preserve"> e </w:t>
      </w:r>
      <w:proofErr w:type="spellStart"/>
      <w:r w:rsidRPr="00D66CE1">
        <w:rPr>
          <w:rFonts w:ascii="Times New Roman" w:eastAsia="Times New Roman" w:hAnsi="Times New Roman" w:cs="Times New Roman"/>
          <w:sz w:val="20"/>
          <w:szCs w:val="20"/>
        </w:rPr>
        <w:t>Innovación’s</w:t>
      </w:r>
      <w:proofErr w:type="spellEnd"/>
      <w:r w:rsidRPr="00D66CE1">
        <w:rPr>
          <w:rFonts w:ascii="Times New Roman" w:eastAsia="Times New Roman" w:hAnsi="Times New Roman" w:cs="Times New Roman"/>
          <w:sz w:val="20"/>
          <w:szCs w:val="20"/>
        </w:rPr>
        <w:t xml:space="preserve"> (ANII) Clemente </w:t>
      </w:r>
      <w:proofErr w:type="spellStart"/>
      <w:r w:rsidRPr="00D66CE1">
        <w:rPr>
          <w:rFonts w:ascii="Times New Roman" w:eastAsia="Times New Roman" w:hAnsi="Times New Roman" w:cs="Times New Roman"/>
          <w:sz w:val="20"/>
          <w:szCs w:val="20"/>
        </w:rPr>
        <w:t>Estable</w:t>
      </w:r>
      <w:proofErr w:type="spellEnd"/>
      <w:r w:rsidRPr="00D66CE1">
        <w:rPr>
          <w:rFonts w:ascii="Times New Roman" w:eastAsia="Times New Roman" w:hAnsi="Times New Roman" w:cs="Times New Roman"/>
          <w:sz w:val="20"/>
          <w:szCs w:val="20"/>
        </w:rPr>
        <w:t xml:space="preserve"> Fund (project FCE_1_2021_1_166587), </w:t>
      </w:r>
      <w:r>
        <w:rPr>
          <w:rFonts w:ascii="Times New Roman" w:eastAsia="Times New Roman" w:hAnsi="Times New Roman" w:cs="Times New Roman"/>
          <w:sz w:val="20"/>
          <w:szCs w:val="20"/>
        </w:rPr>
        <w:t xml:space="preserve">National System of Researchers and Basic Science Development </w:t>
      </w:r>
      <w:proofErr w:type="spellStart"/>
      <w:r>
        <w:rPr>
          <w:rFonts w:ascii="Times New Roman" w:eastAsia="Times New Roman" w:hAnsi="Times New Roman" w:cs="Times New Roman"/>
          <w:sz w:val="20"/>
          <w:szCs w:val="20"/>
        </w:rPr>
        <w:t>Programme</w:t>
      </w:r>
      <w:proofErr w:type="spellEnd"/>
      <w:r>
        <w:rPr>
          <w:rFonts w:ascii="Times New Roman" w:eastAsia="Times New Roman" w:hAnsi="Times New Roman" w:cs="Times New Roman"/>
          <w:sz w:val="20"/>
          <w:szCs w:val="20"/>
        </w:rPr>
        <w:t xml:space="preserve"> (PEDECIBA), </w:t>
      </w:r>
      <w:proofErr w:type="spellStart"/>
      <w:r>
        <w:rPr>
          <w:rFonts w:ascii="Times New Roman" w:eastAsia="Times New Roman" w:hAnsi="Times New Roman" w:cs="Times New Roman"/>
          <w:sz w:val="20"/>
          <w:szCs w:val="20"/>
        </w:rPr>
        <w:t>Ecos</w:t>
      </w:r>
      <w:proofErr w:type="spellEnd"/>
      <w:r>
        <w:rPr>
          <w:rFonts w:ascii="Times New Roman" w:eastAsia="Times New Roman" w:hAnsi="Times New Roman" w:cs="Times New Roman"/>
          <w:sz w:val="20"/>
          <w:szCs w:val="20"/>
        </w:rPr>
        <w:t>-Sud Program (project PU20B01/U20B03), Commission for the Conservation of Antarctic Marine Living Resources (CCAMLR) General Capacity Building Fund and Scientific Scholarship Scheme and WWF-UK.</w:t>
      </w:r>
    </w:p>
    <w:p w14:paraId="2271D38A" w14:textId="77777777" w:rsidR="00D66CE1" w:rsidRDefault="00D66CE1">
      <w:pPr>
        <w:spacing w:line="360" w:lineRule="auto"/>
        <w:rPr>
          <w:rFonts w:ascii="Times New Roman" w:eastAsia="Times New Roman" w:hAnsi="Times New Roman" w:cs="Times New Roman"/>
          <w:b/>
          <w:sz w:val="20"/>
          <w:szCs w:val="20"/>
        </w:rPr>
      </w:pPr>
    </w:p>
    <w:p w14:paraId="1345E77E" w14:textId="77777777" w:rsidR="00FB392F" w:rsidRDefault="00FB392F">
      <w:pPr>
        <w:spacing w:line="360" w:lineRule="auto"/>
        <w:rPr>
          <w:rFonts w:ascii="Times New Roman" w:eastAsia="Times New Roman" w:hAnsi="Times New Roman" w:cs="Times New Roman"/>
          <w:b/>
          <w:sz w:val="20"/>
          <w:szCs w:val="20"/>
        </w:rPr>
      </w:pPr>
      <w:r w:rsidRPr="00FB392F">
        <w:rPr>
          <w:rFonts w:ascii="Times New Roman" w:eastAsia="Times New Roman" w:hAnsi="Times New Roman" w:cs="Times New Roman"/>
          <w:b/>
          <w:sz w:val="20"/>
          <w:szCs w:val="20"/>
        </w:rPr>
        <w:t>Conflicts of interest</w:t>
      </w:r>
    </w:p>
    <w:p w14:paraId="00000071" w14:textId="3ED52DAC" w:rsidR="00D67D77" w:rsidRDefault="00D66CE1">
      <w:pPr>
        <w:spacing w:line="360" w:lineRule="auto"/>
        <w:rPr>
          <w:rFonts w:ascii="Times New Roman" w:eastAsia="Times New Roman" w:hAnsi="Times New Roman" w:cs="Times New Roman"/>
          <w:sz w:val="20"/>
          <w:szCs w:val="20"/>
        </w:rPr>
      </w:pPr>
      <w:r w:rsidRPr="00D66CE1">
        <w:rPr>
          <w:rFonts w:ascii="Times New Roman" w:eastAsia="Times New Roman" w:hAnsi="Times New Roman" w:cs="Times New Roman"/>
          <w:sz w:val="20"/>
          <w:szCs w:val="20"/>
        </w:rPr>
        <w:t>The authors have no conflicts of interest to declare that are relevant to the content of this article.</w:t>
      </w:r>
    </w:p>
    <w:p w14:paraId="0ACAE546" w14:textId="046469C1" w:rsidR="00E676E8" w:rsidRDefault="00E676E8">
      <w:pPr>
        <w:spacing w:line="360" w:lineRule="auto"/>
        <w:rPr>
          <w:rFonts w:ascii="Times New Roman" w:eastAsia="Times New Roman" w:hAnsi="Times New Roman" w:cs="Times New Roman"/>
          <w:sz w:val="20"/>
          <w:szCs w:val="20"/>
        </w:rPr>
      </w:pPr>
    </w:p>
    <w:p w14:paraId="1B39BED2" w14:textId="3EF4145D" w:rsidR="00E676E8" w:rsidRPr="00E676E8" w:rsidRDefault="00E676E8">
      <w:pPr>
        <w:spacing w:line="360" w:lineRule="auto"/>
        <w:rPr>
          <w:rFonts w:ascii="Times New Roman" w:eastAsia="Times New Roman" w:hAnsi="Times New Roman" w:cs="Times New Roman"/>
          <w:b/>
          <w:sz w:val="20"/>
          <w:szCs w:val="20"/>
        </w:rPr>
      </w:pPr>
      <w:r w:rsidRPr="00E676E8">
        <w:rPr>
          <w:rFonts w:ascii="Times New Roman" w:eastAsia="Times New Roman" w:hAnsi="Times New Roman" w:cs="Times New Roman"/>
          <w:b/>
          <w:sz w:val="20"/>
          <w:szCs w:val="20"/>
        </w:rPr>
        <w:t>Data</w:t>
      </w:r>
    </w:p>
    <w:p w14:paraId="00000072" w14:textId="1E8FB978" w:rsidR="00D67D77" w:rsidRDefault="00000000">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datasets generated and analyzed during the current study are available from the corresponding author on reasonable request.</w:t>
      </w:r>
    </w:p>
    <w:p w14:paraId="00000073" w14:textId="77777777" w:rsidR="00D67D77" w:rsidRDefault="00D67D77">
      <w:pPr>
        <w:spacing w:line="360" w:lineRule="auto"/>
        <w:rPr>
          <w:rFonts w:ascii="Times New Roman" w:eastAsia="Times New Roman" w:hAnsi="Times New Roman" w:cs="Times New Roman"/>
          <w:sz w:val="20"/>
          <w:szCs w:val="20"/>
        </w:rPr>
      </w:pPr>
    </w:p>
    <w:p w14:paraId="00000074" w14:textId="77777777" w:rsidR="00D67D77" w:rsidRDefault="00000000">
      <w:pPr>
        <w:spacing w:line="36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Ethics approval</w:t>
      </w:r>
      <w:r>
        <w:rPr>
          <w:rFonts w:ascii="Times New Roman" w:eastAsia="Times New Roman" w:hAnsi="Times New Roman" w:cs="Times New Roman"/>
          <w:sz w:val="20"/>
          <w:szCs w:val="20"/>
        </w:rPr>
        <w:t xml:space="preserve"> </w:t>
      </w:r>
    </w:p>
    <w:p w14:paraId="00000075" w14:textId="77777777" w:rsidR="00D67D77" w:rsidRDefault="00000000">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All penguin handling procedures were reviewed and approved by the Honorary Commission of Animal Experimentation of Uruguay (CHEA protocol N° 1312).</w:t>
      </w:r>
    </w:p>
    <w:p w14:paraId="00000076" w14:textId="61E99E46" w:rsidR="00D67D77" w:rsidRDefault="00D67D77">
      <w:pPr>
        <w:spacing w:line="360" w:lineRule="auto"/>
        <w:jc w:val="both"/>
        <w:rPr>
          <w:rFonts w:ascii="Times New Roman" w:eastAsia="Times New Roman" w:hAnsi="Times New Roman" w:cs="Times New Roman"/>
          <w:sz w:val="20"/>
          <w:szCs w:val="20"/>
        </w:rPr>
      </w:pPr>
    </w:p>
    <w:p w14:paraId="5A69C908" w14:textId="49181B43" w:rsidR="00FB392F" w:rsidRDefault="00FB392F">
      <w:pPr>
        <w:spacing w:line="360" w:lineRule="auto"/>
        <w:jc w:val="both"/>
        <w:rPr>
          <w:rFonts w:ascii="Times New Roman" w:eastAsia="Times New Roman" w:hAnsi="Times New Roman" w:cs="Times New Roman"/>
          <w:sz w:val="20"/>
          <w:szCs w:val="20"/>
        </w:rPr>
      </w:pPr>
      <w:r w:rsidRPr="00FB392F">
        <w:rPr>
          <w:rFonts w:ascii="Times New Roman" w:eastAsia="Times New Roman" w:hAnsi="Times New Roman" w:cs="Times New Roman"/>
          <w:b/>
          <w:sz w:val="20"/>
          <w:szCs w:val="20"/>
        </w:rPr>
        <w:t>Authors’ contribution</w:t>
      </w:r>
    </w:p>
    <w:p w14:paraId="00000079" w14:textId="4F93B259" w:rsidR="00D67D77" w:rsidRDefault="001928F9" w:rsidP="001928F9">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ALM-G, AK, MC, YR-C, AB and AS</w:t>
      </w:r>
      <w:r w:rsidR="00FB392F" w:rsidRPr="00FB392F">
        <w:rPr>
          <w:rFonts w:ascii="Times New Roman" w:eastAsia="Times New Roman" w:hAnsi="Times New Roman" w:cs="Times New Roman"/>
          <w:sz w:val="20"/>
          <w:szCs w:val="20"/>
        </w:rPr>
        <w:t xml:space="preserve"> contributed to the study conception and design. </w:t>
      </w:r>
      <w:r>
        <w:rPr>
          <w:rFonts w:ascii="Times New Roman" w:eastAsia="Times New Roman" w:hAnsi="Times New Roman" w:cs="Times New Roman"/>
          <w:sz w:val="20"/>
          <w:szCs w:val="20"/>
        </w:rPr>
        <w:t xml:space="preserve">ALM-G, AB and AS performed data collection. Data analysis was performed by ALM-G, AK, MC, NG and AS. </w:t>
      </w:r>
      <w:r w:rsidR="00FB392F" w:rsidRPr="00FB392F">
        <w:rPr>
          <w:rFonts w:ascii="Times New Roman" w:eastAsia="Times New Roman" w:hAnsi="Times New Roman" w:cs="Times New Roman"/>
          <w:sz w:val="20"/>
          <w:szCs w:val="20"/>
        </w:rPr>
        <w:t xml:space="preserve">The first draft of the manuscript was written by </w:t>
      </w:r>
      <w:r>
        <w:rPr>
          <w:rFonts w:ascii="Times New Roman" w:eastAsia="Times New Roman" w:hAnsi="Times New Roman" w:cs="Times New Roman"/>
          <w:sz w:val="20"/>
          <w:szCs w:val="20"/>
        </w:rPr>
        <w:t xml:space="preserve">ALM-G </w:t>
      </w:r>
      <w:r w:rsidR="00FB392F" w:rsidRPr="00FB392F">
        <w:rPr>
          <w:rFonts w:ascii="Times New Roman" w:eastAsia="Times New Roman" w:hAnsi="Times New Roman" w:cs="Times New Roman"/>
          <w:sz w:val="20"/>
          <w:szCs w:val="20"/>
        </w:rPr>
        <w:t>and</w:t>
      </w:r>
      <w:r>
        <w:rPr>
          <w:rFonts w:ascii="Times New Roman" w:eastAsia="Times New Roman" w:hAnsi="Times New Roman" w:cs="Times New Roman"/>
          <w:sz w:val="20"/>
          <w:szCs w:val="20"/>
        </w:rPr>
        <w:t xml:space="preserve"> AS, and</w:t>
      </w:r>
      <w:r w:rsidR="00FB392F" w:rsidRPr="00FB392F">
        <w:rPr>
          <w:rFonts w:ascii="Times New Roman" w:eastAsia="Times New Roman" w:hAnsi="Times New Roman" w:cs="Times New Roman"/>
          <w:sz w:val="20"/>
          <w:szCs w:val="20"/>
        </w:rPr>
        <w:t xml:space="preserve"> all authors commented on previous versions of the manuscript. All authors read and approved the final manuscript.</w:t>
      </w:r>
    </w:p>
    <w:p w14:paraId="0CAA3231" w14:textId="77777777" w:rsidR="00FB392F" w:rsidRDefault="00FB392F">
      <w:pPr>
        <w:spacing w:line="360" w:lineRule="auto"/>
        <w:jc w:val="both"/>
        <w:rPr>
          <w:rFonts w:ascii="Times New Roman" w:eastAsia="Times New Roman" w:hAnsi="Times New Roman" w:cs="Times New Roman"/>
          <w:sz w:val="20"/>
          <w:szCs w:val="20"/>
        </w:rPr>
      </w:pPr>
    </w:p>
    <w:p w14:paraId="0000007A" w14:textId="77777777" w:rsidR="00D67D77" w:rsidRDefault="00000000">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References</w:t>
      </w:r>
    </w:p>
    <w:p w14:paraId="0000007B"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Ainley D, Wilson P, Barton K, Ballard G, Nur N, Karl B (1998) Diet and foraging effort of Adélie penguins in relation to pack-ice conditions in the southern Ross Sea. Polar Biol 20, 311–319. </w:t>
      </w:r>
      <w:hyperlink r:id="rId21">
        <w:r>
          <w:rPr>
            <w:rFonts w:ascii="Times New Roman" w:eastAsia="Times New Roman" w:hAnsi="Times New Roman" w:cs="Times New Roman"/>
            <w:color w:val="0000FF"/>
            <w:sz w:val="20"/>
            <w:szCs w:val="20"/>
            <w:u w:val="single"/>
          </w:rPr>
          <w:t>https://doi.org/10.1007/s003000050308</w:t>
        </w:r>
      </w:hyperlink>
    </w:p>
    <w:p w14:paraId="0000007C" w14:textId="77777777" w:rsidR="00D67D77" w:rsidRDefault="00D67D77">
      <w:pPr>
        <w:spacing w:line="360" w:lineRule="auto"/>
        <w:jc w:val="both"/>
        <w:rPr>
          <w:rFonts w:ascii="Times New Roman" w:eastAsia="Times New Roman" w:hAnsi="Times New Roman" w:cs="Times New Roman"/>
          <w:sz w:val="20"/>
          <w:szCs w:val="20"/>
        </w:rPr>
      </w:pPr>
    </w:p>
    <w:p w14:paraId="0000007D"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Ainley DG, Ribic CA, Ballard G, Heath S, Gaffney I, Karl BJ, Barton KJ, Wilson PR, Webb S (2004) Geographic structure of Adelie penguin populations: Overlap in colony‐specific foraging areas. </w:t>
      </w:r>
      <w:proofErr w:type="spellStart"/>
      <w:r>
        <w:rPr>
          <w:rFonts w:ascii="Times New Roman" w:eastAsia="Times New Roman" w:hAnsi="Times New Roman" w:cs="Times New Roman"/>
          <w:sz w:val="20"/>
          <w:szCs w:val="20"/>
        </w:rPr>
        <w:t>Ecol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Monogr</w:t>
      </w:r>
      <w:proofErr w:type="spellEnd"/>
      <w:r>
        <w:rPr>
          <w:rFonts w:ascii="Times New Roman" w:eastAsia="Times New Roman" w:hAnsi="Times New Roman" w:cs="Times New Roman"/>
          <w:sz w:val="20"/>
          <w:szCs w:val="20"/>
        </w:rPr>
        <w:t xml:space="preserve"> 74(1), 159-178. </w:t>
      </w:r>
      <w:hyperlink r:id="rId22">
        <w:r>
          <w:rPr>
            <w:rFonts w:ascii="Times New Roman" w:eastAsia="Times New Roman" w:hAnsi="Times New Roman" w:cs="Times New Roman"/>
            <w:color w:val="0000FF"/>
            <w:sz w:val="20"/>
            <w:szCs w:val="20"/>
            <w:u w:val="single"/>
          </w:rPr>
          <w:t>https://doi.org/10.1890/02-4073</w:t>
        </w:r>
      </w:hyperlink>
    </w:p>
    <w:p w14:paraId="0000007E" w14:textId="77777777" w:rsidR="00D67D77" w:rsidRDefault="00D67D77">
      <w:pPr>
        <w:spacing w:line="360" w:lineRule="auto"/>
        <w:jc w:val="both"/>
        <w:rPr>
          <w:rFonts w:ascii="Times New Roman" w:eastAsia="Times New Roman" w:hAnsi="Times New Roman" w:cs="Times New Roman"/>
          <w:sz w:val="20"/>
          <w:szCs w:val="20"/>
        </w:rPr>
      </w:pPr>
    </w:p>
    <w:p w14:paraId="0000007F" w14:textId="77777777" w:rsidR="00D67D77" w:rsidRPr="00F74DC7" w:rsidRDefault="00000000">
      <w:pPr>
        <w:spacing w:line="360" w:lineRule="auto"/>
        <w:jc w:val="both"/>
        <w:rPr>
          <w:rFonts w:ascii="Times New Roman" w:eastAsia="Times New Roman" w:hAnsi="Times New Roman" w:cs="Times New Roman"/>
          <w:sz w:val="20"/>
          <w:szCs w:val="20"/>
          <w:lang w:val="es-UY"/>
        </w:rPr>
      </w:pPr>
      <w:r>
        <w:rPr>
          <w:rFonts w:ascii="Times New Roman" w:eastAsia="Times New Roman" w:hAnsi="Times New Roman" w:cs="Times New Roman"/>
          <w:sz w:val="20"/>
          <w:szCs w:val="20"/>
        </w:rPr>
        <w:t xml:space="preserve">Ainley DG, Ballard G, Jones RM, </w:t>
      </w:r>
      <w:proofErr w:type="spellStart"/>
      <w:r>
        <w:rPr>
          <w:rFonts w:ascii="Times New Roman" w:eastAsia="Times New Roman" w:hAnsi="Times New Roman" w:cs="Times New Roman"/>
          <w:sz w:val="20"/>
          <w:szCs w:val="20"/>
        </w:rPr>
        <w:t>Jongsomjit</w:t>
      </w:r>
      <w:proofErr w:type="spellEnd"/>
      <w:r>
        <w:rPr>
          <w:rFonts w:ascii="Times New Roman" w:eastAsia="Times New Roman" w:hAnsi="Times New Roman" w:cs="Times New Roman"/>
          <w:sz w:val="20"/>
          <w:szCs w:val="20"/>
        </w:rPr>
        <w:t xml:space="preserve"> D, Pierce SD, Smith WO Jr, Veloz S (2015) Trophic cascades in the western Ross Sea, Antarctica: revisited. </w:t>
      </w:r>
      <w:r w:rsidRPr="00F74DC7">
        <w:rPr>
          <w:rFonts w:ascii="Times New Roman" w:eastAsia="Times New Roman" w:hAnsi="Times New Roman" w:cs="Times New Roman"/>
          <w:sz w:val="20"/>
          <w:szCs w:val="20"/>
          <w:lang w:val="es-UY"/>
        </w:rPr>
        <w:t xml:space="preserve">Mar </w:t>
      </w:r>
      <w:proofErr w:type="spellStart"/>
      <w:r w:rsidRPr="00F74DC7">
        <w:rPr>
          <w:rFonts w:ascii="Times New Roman" w:eastAsia="Times New Roman" w:hAnsi="Times New Roman" w:cs="Times New Roman"/>
          <w:sz w:val="20"/>
          <w:szCs w:val="20"/>
          <w:lang w:val="es-UY"/>
        </w:rPr>
        <w:t>Ecol</w:t>
      </w:r>
      <w:proofErr w:type="spellEnd"/>
      <w:r w:rsidRPr="00F74DC7">
        <w:rPr>
          <w:rFonts w:ascii="Times New Roman" w:eastAsia="Times New Roman" w:hAnsi="Times New Roman" w:cs="Times New Roman"/>
          <w:sz w:val="20"/>
          <w:szCs w:val="20"/>
          <w:lang w:val="es-UY"/>
        </w:rPr>
        <w:t xml:space="preserve"> </w:t>
      </w:r>
      <w:proofErr w:type="spellStart"/>
      <w:r w:rsidRPr="00F74DC7">
        <w:rPr>
          <w:rFonts w:ascii="Times New Roman" w:eastAsia="Times New Roman" w:hAnsi="Times New Roman" w:cs="Times New Roman"/>
          <w:sz w:val="20"/>
          <w:szCs w:val="20"/>
          <w:lang w:val="es-UY"/>
        </w:rPr>
        <w:t>Prog</w:t>
      </w:r>
      <w:proofErr w:type="spellEnd"/>
      <w:r w:rsidRPr="00F74DC7">
        <w:rPr>
          <w:rFonts w:ascii="Times New Roman" w:eastAsia="Times New Roman" w:hAnsi="Times New Roman" w:cs="Times New Roman"/>
          <w:sz w:val="20"/>
          <w:szCs w:val="20"/>
          <w:lang w:val="es-UY"/>
        </w:rPr>
        <w:t xml:space="preserve"> Ser 534:1-16. </w:t>
      </w:r>
      <w:hyperlink r:id="rId23">
        <w:r w:rsidRPr="00F74DC7">
          <w:rPr>
            <w:rFonts w:ascii="Times New Roman" w:eastAsia="Times New Roman" w:hAnsi="Times New Roman" w:cs="Times New Roman"/>
            <w:color w:val="0000FF"/>
            <w:sz w:val="20"/>
            <w:szCs w:val="20"/>
            <w:u w:val="single"/>
            <w:lang w:val="es-UY"/>
          </w:rPr>
          <w:t>https://doi.org/10.3354/meps11394</w:t>
        </w:r>
      </w:hyperlink>
    </w:p>
    <w:p w14:paraId="00000080" w14:textId="77777777" w:rsidR="00D67D77" w:rsidRPr="00F74DC7" w:rsidRDefault="00D67D77">
      <w:pPr>
        <w:spacing w:line="360" w:lineRule="auto"/>
        <w:jc w:val="both"/>
        <w:rPr>
          <w:rFonts w:ascii="Times New Roman" w:eastAsia="Times New Roman" w:hAnsi="Times New Roman" w:cs="Times New Roman"/>
          <w:sz w:val="20"/>
          <w:szCs w:val="20"/>
          <w:lang w:val="es-UY"/>
        </w:rPr>
      </w:pPr>
    </w:p>
    <w:p w14:paraId="00000081" w14:textId="77777777" w:rsidR="00D67D77" w:rsidRDefault="00000000">
      <w:pPr>
        <w:spacing w:line="360" w:lineRule="auto"/>
        <w:jc w:val="both"/>
        <w:rPr>
          <w:rFonts w:ascii="Times New Roman" w:eastAsia="Times New Roman" w:hAnsi="Times New Roman" w:cs="Times New Roman"/>
          <w:sz w:val="20"/>
          <w:szCs w:val="20"/>
        </w:rPr>
      </w:pPr>
      <w:proofErr w:type="spellStart"/>
      <w:r w:rsidRPr="00F74DC7">
        <w:rPr>
          <w:rFonts w:ascii="Times New Roman" w:eastAsia="Times New Roman" w:hAnsi="Times New Roman" w:cs="Times New Roman"/>
          <w:sz w:val="20"/>
          <w:szCs w:val="20"/>
          <w:lang w:val="es-UY"/>
        </w:rPr>
        <w:t>Ainley</w:t>
      </w:r>
      <w:proofErr w:type="spellEnd"/>
      <w:r w:rsidRPr="00F74DC7">
        <w:rPr>
          <w:rFonts w:ascii="Times New Roman" w:eastAsia="Times New Roman" w:hAnsi="Times New Roman" w:cs="Times New Roman"/>
          <w:sz w:val="20"/>
          <w:szCs w:val="20"/>
          <w:lang w:val="es-UY"/>
        </w:rPr>
        <w:t xml:space="preserve"> DG, </w:t>
      </w:r>
      <w:proofErr w:type="spellStart"/>
      <w:r w:rsidRPr="00F74DC7">
        <w:rPr>
          <w:rFonts w:ascii="Times New Roman" w:eastAsia="Times New Roman" w:hAnsi="Times New Roman" w:cs="Times New Roman"/>
          <w:sz w:val="20"/>
          <w:szCs w:val="20"/>
          <w:lang w:val="es-UY"/>
        </w:rPr>
        <w:t>Dugger</w:t>
      </w:r>
      <w:proofErr w:type="spellEnd"/>
      <w:r w:rsidRPr="00F74DC7">
        <w:rPr>
          <w:rFonts w:ascii="Times New Roman" w:eastAsia="Times New Roman" w:hAnsi="Times New Roman" w:cs="Times New Roman"/>
          <w:sz w:val="20"/>
          <w:szCs w:val="20"/>
          <w:lang w:val="es-UY"/>
        </w:rPr>
        <w:t xml:space="preserve"> KM, La Mesa M, Ballard G, et al. </w:t>
      </w:r>
      <w:r>
        <w:rPr>
          <w:rFonts w:ascii="Times New Roman" w:eastAsia="Times New Roman" w:hAnsi="Times New Roman" w:cs="Times New Roman"/>
          <w:sz w:val="20"/>
          <w:szCs w:val="20"/>
        </w:rPr>
        <w:t xml:space="preserve">(2018) Post-fledging survival of Adélie penguins at multiple colonies: chicks raised on fish do well. Mar </w:t>
      </w:r>
      <w:proofErr w:type="spellStart"/>
      <w:r>
        <w:rPr>
          <w:rFonts w:ascii="Times New Roman" w:eastAsia="Times New Roman" w:hAnsi="Times New Roman" w:cs="Times New Roman"/>
          <w:sz w:val="20"/>
          <w:szCs w:val="20"/>
        </w:rPr>
        <w:t>Ecol</w:t>
      </w:r>
      <w:proofErr w:type="spellEnd"/>
      <w:r>
        <w:rPr>
          <w:rFonts w:ascii="Times New Roman" w:eastAsia="Times New Roman" w:hAnsi="Times New Roman" w:cs="Times New Roman"/>
          <w:sz w:val="20"/>
          <w:szCs w:val="20"/>
        </w:rPr>
        <w:t xml:space="preserve"> Prog Ser 601:239-251. </w:t>
      </w:r>
      <w:hyperlink r:id="rId24">
        <w:r>
          <w:rPr>
            <w:rFonts w:ascii="Times New Roman" w:eastAsia="Times New Roman" w:hAnsi="Times New Roman" w:cs="Times New Roman"/>
            <w:color w:val="0000FF"/>
            <w:sz w:val="20"/>
            <w:szCs w:val="20"/>
            <w:u w:val="single"/>
          </w:rPr>
          <w:t>https://doi.org/10.3354/meps12687</w:t>
        </w:r>
      </w:hyperlink>
    </w:p>
    <w:p w14:paraId="00000082" w14:textId="77777777" w:rsidR="00D67D77" w:rsidRDefault="00D67D77">
      <w:pPr>
        <w:spacing w:line="360" w:lineRule="auto"/>
        <w:jc w:val="both"/>
        <w:rPr>
          <w:rFonts w:ascii="Times New Roman" w:eastAsia="Times New Roman" w:hAnsi="Times New Roman" w:cs="Times New Roman"/>
          <w:sz w:val="20"/>
          <w:szCs w:val="20"/>
        </w:rPr>
      </w:pPr>
    </w:p>
    <w:p w14:paraId="00000083"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Alonzo SH, Switzer PV, Mangel M (2003) Ecological games in space and time: the distribution and abundance of Antarctic krill and penguins. </w:t>
      </w:r>
      <w:proofErr w:type="spellStart"/>
      <w:r>
        <w:rPr>
          <w:rFonts w:ascii="Times New Roman" w:eastAsia="Times New Roman" w:hAnsi="Times New Roman" w:cs="Times New Roman"/>
          <w:sz w:val="20"/>
          <w:szCs w:val="20"/>
        </w:rPr>
        <w:t>Ecol</w:t>
      </w:r>
      <w:proofErr w:type="spellEnd"/>
      <w:r>
        <w:rPr>
          <w:rFonts w:ascii="Times New Roman" w:eastAsia="Times New Roman" w:hAnsi="Times New Roman" w:cs="Times New Roman"/>
          <w:sz w:val="20"/>
          <w:szCs w:val="20"/>
        </w:rPr>
        <w:t xml:space="preserve"> 84(6), 1598-1607. </w:t>
      </w:r>
      <w:hyperlink r:id="rId25">
        <w:r>
          <w:rPr>
            <w:rFonts w:ascii="Times New Roman" w:eastAsia="Times New Roman" w:hAnsi="Times New Roman" w:cs="Times New Roman"/>
            <w:color w:val="0000FF"/>
            <w:sz w:val="20"/>
            <w:szCs w:val="20"/>
            <w:u w:val="single"/>
          </w:rPr>
          <w:t>https://doi.org/10.1890/0012-9658(2003)084[1598:EGISAT]2.0.CO;2</w:t>
        </w:r>
      </w:hyperlink>
    </w:p>
    <w:p w14:paraId="00000084" w14:textId="77777777" w:rsidR="00D67D77" w:rsidRDefault="00D67D77">
      <w:pPr>
        <w:spacing w:line="360" w:lineRule="auto"/>
        <w:jc w:val="both"/>
        <w:rPr>
          <w:rFonts w:ascii="Times New Roman" w:eastAsia="Times New Roman" w:hAnsi="Times New Roman" w:cs="Times New Roman"/>
          <w:sz w:val="20"/>
          <w:szCs w:val="20"/>
        </w:rPr>
      </w:pPr>
    </w:p>
    <w:p w14:paraId="00000085"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Ancel A, Beaulieu M, Gilbert C (2013) The different breeding strategies of penguins: a review. C R Biol 336(1), 1-12. </w:t>
      </w:r>
      <w:hyperlink r:id="rId26">
        <w:r>
          <w:rPr>
            <w:rFonts w:ascii="Times New Roman" w:eastAsia="Times New Roman" w:hAnsi="Times New Roman" w:cs="Times New Roman"/>
            <w:color w:val="0000FF"/>
            <w:sz w:val="20"/>
            <w:szCs w:val="20"/>
            <w:u w:val="single"/>
          </w:rPr>
          <w:t>https://doi.org/10.1016/j.crvi.2013.02.002</w:t>
        </w:r>
      </w:hyperlink>
    </w:p>
    <w:p w14:paraId="00000086" w14:textId="77777777" w:rsidR="00D67D77" w:rsidRDefault="00D67D77">
      <w:pPr>
        <w:spacing w:line="360" w:lineRule="auto"/>
        <w:jc w:val="both"/>
        <w:rPr>
          <w:rFonts w:ascii="Times New Roman" w:eastAsia="Times New Roman" w:hAnsi="Times New Roman" w:cs="Times New Roman"/>
          <w:sz w:val="20"/>
          <w:szCs w:val="20"/>
        </w:rPr>
      </w:pPr>
    </w:p>
    <w:p w14:paraId="00000087"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Atkinson A, Hill SL, Pakhomov EA et al (2019) Krill (</w:t>
      </w:r>
      <w:proofErr w:type="spellStart"/>
      <w:r>
        <w:rPr>
          <w:rFonts w:ascii="Times New Roman" w:eastAsia="Times New Roman" w:hAnsi="Times New Roman" w:cs="Times New Roman"/>
          <w:sz w:val="20"/>
          <w:szCs w:val="20"/>
        </w:rPr>
        <w:t>Euphausia</w:t>
      </w:r>
      <w:proofErr w:type="spellEnd"/>
      <w:r>
        <w:rPr>
          <w:rFonts w:ascii="Times New Roman" w:eastAsia="Times New Roman" w:hAnsi="Times New Roman" w:cs="Times New Roman"/>
          <w:sz w:val="20"/>
          <w:szCs w:val="20"/>
        </w:rPr>
        <w:t xml:space="preserve"> superba) distribution contracts southward during rapid regional warming. Nature Clim Change 9, 142–147. </w:t>
      </w:r>
      <w:hyperlink r:id="rId27">
        <w:r>
          <w:rPr>
            <w:rFonts w:ascii="Times New Roman" w:eastAsia="Times New Roman" w:hAnsi="Times New Roman" w:cs="Times New Roman"/>
            <w:color w:val="0000FF"/>
            <w:sz w:val="20"/>
            <w:szCs w:val="20"/>
            <w:u w:val="single"/>
          </w:rPr>
          <w:t>https://doi.org/10.1038/s41558-018-0370-z</w:t>
        </w:r>
      </w:hyperlink>
    </w:p>
    <w:p w14:paraId="00000088" w14:textId="77777777" w:rsidR="00D67D77" w:rsidRDefault="00D67D77">
      <w:pPr>
        <w:spacing w:line="360" w:lineRule="auto"/>
        <w:jc w:val="both"/>
        <w:rPr>
          <w:rFonts w:ascii="Times New Roman" w:eastAsia="Times New Roman" w:hAnsi="Times New Roman" w:cs="Times New Roman"/>
          <w:sz w:val="20"/>
          <w:szCs w:val="20"/>
        </w:rPr>
      </w:pPr>
    </w:p>
    <w:p w14:paraId="00000089"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Ballance LT, Ainley DG, Ballard G, Barton K (2009) An energetic correlate between colony size and foraging effort in seabirds, an example of the Adélie penguin </w:t>
      </w:r>
      <w:proofErr w:type="spellStart"/>
      <w:r>
        <w:rPr>
          <w:rFonts w:ascii="Times New Roman" w:eastAsia="Times New Roman" w:hAnsi="Times New Roman" w:cs="Times New Roman"/>
          <w:sz w:val="20"/>
          <w:szCs w:val="20"/>
        </w:rPr>
        <w:t>Pygoscelis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adeliae</w:t>
      </w:r>
      <w:proofErr w:type="spellEnd"/>
      <w:r>
        <w:rPr>
          <w:rFonts w:ascii="Times New Roman" w:eastAsia="Times New Roman" w:hAnsi="Times New Roman" w:cs="Times New Roman"/>
          <w:sz w:val="20"/>
          <w:szCs w:val="20"/>
        </w:rPr>
        <w:t xml:space="preserve">. J Avian Biol, 40(3), 279-288. </w:t>
      </w:r>
      <w:hyperlink r:id="rId28">
        <w:r>
          <w:rPr>
            <w:rFonts w:ascii="Times New Roman" w:eastAsia="Times New Roman" w:hAnsi="Times New Roman" w:cs="Times New Roman"/>
            <w:color w:val="0000FF"/>
            <w:sz w:val="20"/>
            <w:szCs w:val="20"/>
            <w:u w:val="single"/>
          </w:rPr>
          <w:t>https://doi.org/10.1111/j.1600-048X.2008.04538.x</w:t>
        </w:r>
      </w:hyperlink>
    </w:p>
    <w:p w14:paraId="0000008A" w14:textId="77777777" w:rsidR="00D67D77" w:rsidRDefault="00D67D77">
      <w:pPr>
        <w:spacing w:line="360" w:lineRule="auto"/>
        <w:jc w:val="both"/>
        <w:rPr>
          <w:rFonts w:ascii="Times New Roman" w:eastAsia="Times New Roman" w:hAnsi="Times New Roman" w:cs="Times New Roman"/>
          <w:sz w:val="20"/>
          <w:szCs w:val="20"/>
        </w:rPr>
      </w:pPr>
    </w:p>
    <w:p w14:paraId="0000008B"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Ballard G, Dugger KM, Nur N, Ainley DG (2010) Foraging strategies of Adélie penguins: adjusting body condition to cope with environmental variability. Mar </w:t>
      </w:r>
      <w:proofErr w:type="spellStart"/>
      <w:r>
        <w:rPr>
          <w:rFonts w:ascii="Times New Roman" w:eastAsia="Times New Roman" w:hAnsi="Times New Roman" w:cs="Times New Roman"/>
          <w:sz w:val="20"/>
          <w:szCs w:val="20"/>
        </w:rPr>
        <w:t>Ecol</w:t>
      </w:r>
      <w:proofErr w:type="spellEnd"/>
      <w:r>
        <w:rPr>
          <w:rFonts w:ascii="Times New Roman" w:eastAsia="Times New Roman" w:hAnsi="Times New Roman" w:cs="Times New Roman"/>
          <w:sz w:val="20"/>
          <w:szCs w:val="20"/>
        </w:rPr>
        <w:t xml:space="preserve"> Prog Ser 405:287-302. </w:t>
      </w:r>
      <w:hyperlink r:id="rId29">
        <w:r>
          <w:rPr>
            <w:rFonts w:ascii="Times New Roman" w:eastAsia="Times New Roman" w:hAnsi="Times New Roman" w:cs="Times New Roman"/>
            <w:color w:val="0000FF"/>
            <w:sz w:val="20"/>
            <w:szCs w:val="20"/>
            <w:u w:val="single"/>
          </w:rPr>
          <w:t>https://doi.org/10.3354/meps08514</w:t>
        </w:r>
      </w:hyperlink>
    </w:p>
    <w:p w14:paraId="0000008C" w14:textId="77777777" w:rsidR="00D67D77" w:rsidRDefault="00D67D77">
      <w:pPr>
        <w:spacing w:line="360" w:lineRule="auto"/>
        <w:jc w:val="both"/>
        <w:rPr>
          <w:rFonts w:ascii="Times New Roman" w:eastAsia="Times New Roman" w:hAnsi="Times New Roman" w:cs="Times New Roman"/>
          <w:sz w:val="20"/>
          <w:szCs w:val="20"/>
        </w:rPr>
      </w:pPr>
    </w:p>
    <w:p w14:paraId="0000008D"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Bates D, </w:t>
      </w:r>
      <w:proofErr w:type="spellStart"/>
      <w:r>
        <w:rPr>
          <w:rFonts w:ascii="Times New Roman" w:eastAsia="Times New Roman" w:hAnsi="Times New Roman" w:cs="Times New Roman"/>
          <w:sz w:val="20"/>
          <w:szCs w:val="20"/>
        </w:rPr>
        <w:t>Mächler</w:t>
      </w:r>
      <w:proofErr w:type="spellEnd"/>
      <w:r>
        <w:rPr>
          <w:rFonts w:ascii="Times New Roman" w:eastAsia="Times New Roman" w:hAnsi="Times New Roman" w:cs="Times New Roman"/>
          <w:sz w:val="20"/>
          <w:szCs w:val="20"/>
        </w:rPr>
        <w:t xml:space="preserve"> M, </w:t>
      </w:r>
      <w:proofErr w:type="spellStart"/>
      <w:r>
        <w:rPr>
          <w:rFonts w:ascii="Times New Roman" w:eastAsia="Times New Roman" w:hAnsi="Times New Roman" w:cs="Times New Roman"/>
          <w:sz w:val="20"/>
          <w:szCs w:val="20"/>
        </w:rPr>
        <w:t>Bolker</w:t>
      </w:r>
      <w:proofErr w:type="spellEnd"/>
      <w:r>
        <w:rPr>
          <w:rFonts w:ascii="Times New Roman" w:eastAsia="Times New Roman" w:hAnsi="Times New Roman" w:cs="Times New Roman"/>
          <w:sz w:val="20"/>
          <w:szCs w:val="20"/>
        </w:rPr>
        <w:t xml:space="preserve"> B, Walker S (2015) Fitting Linear Mixed-Effects Models Using lme4.</w:t>
      </w:r>
      <w:r>
        <w:t xml:space="preserve"> </w:t>
      </w:r>
      <w:r>
        <w:rPr>
          <w:rFonts w:ascii="Times New Roman" w:eastAsia="Times New Roman" w:hAnsi="Times New Roman" w:cs="Times New Roman"/>
          <w:sz w:val="20"/>
          <w:szCs w:val="20"/>
        </w:rPr>
        <w:t xml:space="preserve">J. Stat </w:t>
      </w:r>
      <w:proofErr w:type="spellStart"/>
      <w:r>
        <w:rPr>
          <w:rFonts w:ascii="Times New Roman" w:eastAsia="Times New Roman" w:hAnsi="Times New Roman" w:cs="Times New Roman"/>
          <w:sz w:val="20"/>
          <w:szCs w:val="20"/>
        </w:rPr>
        <w:t>Softw</w:t>
      </w:r>
      <w:proofErr w:type="spellEnd"/>
      <w:r>
        <w:rPr>
          <w:rFonts w:ascii="Times New Roman" w:eastAsia="Times New Roman" w:hAnsi="Times New Roman" w:cs="Times New Roman"/>
          <w:sz w:val="20"/>
          <w:szCs w:val="20"/>
        </w:rPr>
        <w:t xml:space="preserve"> 67(1), 1–48. </w:t>
      </w:r>
      <w:hyperlink r:id="rId30">
        <w:r>
          <w:rPr>
            <w:rFonts w:ascii="Times New Roman" w:eastAsia="Times New Roman" w:hAnsi="Times New Roman" w:cs="Times New Roman"/>
            <w:color w:val="0000FF"/>
            <w:sz w:val="20"/>
            <w:szCs w:val="20"/>
            <w:u w:val="single"/>
          </w:rPr>
          <w:t>https://doi.org/10.48550/arXiv.1406.5823</w:t>
        </w:r>
      </w:hyperlink>
    </w:p>
    <w:p w14:paraId="0000008E" w14:textId="77777777" w:rsidR="00D67D77" w:rsidRDefault="00D67D77">
      <w:pPr>
        <w:spacing w:line="360" w:lineRule="auto"/>
        <w:jc w:val="both"/>
        <w:rPr>
          <w:rFonts w:ascii="Times New Roman" w:eastAsia="Times New Roman" w:hAnsi="Times New Roman" w:cs="Times New Roman"/>
          <w:sz w:val="20"/>
          <w:szCs w:val="20"/>
        </w:rPr>
      </w:pPr>
    </w:p>
    <w:p w14:paraId="0000008F"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Beal M, Oppel S, Handley J, </w:t>
      </w:r>
      <w:proofErr w:type="spellStart"/>
      <w:r>
        <w:rPr>
          <w:rFonts w:ascii="Times New Roman" w:eastAsia="Times New Roman" w:hAnsi="Times New Roman" w:cs="Times New Roman"/>
          <w:sz w:val="20"/>
          <w:szCs w:val="20"/>
        </w:rPr>
        <w:t>Pearmain</w:t>
      </w:r>
      <w:proofErr w:type="spellEnd"/>
      <w:r>
        <w:rPr>
          <w:rFonts w:ascii="Times New Roman" w:eastAsia="Times New Roman" w:hAnsi="Times New Roman" w:cs="Times New Roman"/>
          <w:sz w:val="20"/>
          <w:szCs w:val="20"/>
        </w:rPr>
        <w:t xml:space="preserve"> EJ, </w:t>
      </w:r>
      <w:proofErr w:type="spellStart"/>
      <w:r>
        <w:rPr>
          <w:rFonts w:ascii="Times New Roman" w:eastAsia="Times New Roman" w:hAnsi="Times New Roman" w:cs="Times New Roman"/>
          <w:sz w:val="20"/>
          <w:szCs w:val="20"/>
        </w:rPr>
        <w:t>Morera</w:t>
      </w:r>
      <w:proofErr w:type="spellEnd"/>
      <w:r>
        <w:rPr>
          <w:rFonts w:ascii="Times New Roman" w:eastAsia="Times New Roman" w:hAnsi="Times New Roman" w:cs="Times New Roman"/>
          <w:sz w:val="20"/>
          <w:szCs w:val="20"/>
        </w:rPr>
        <w:t xml:space="preserve">‐Pujol V, Carneiro AP et al (2021) track2KBA: An R package for identifying important sites for biodiversity from tracking data. Methods </w:t>
      </w:r>
      <w:proofErr w:type="spellStart"/>
      <w:r>
        <w:rPr>
          <w:rFonts w:ascii="Times New Roman" w:eastAsia="Times New Roman" w:hAnsi="Times New Roman" w:cs="Times New Roman"/>
          <w:sz w:val="20"/>
          <w:szCs w:val="20"/>
        </w:rPr>
        <w:t>Ecol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Evol</w:t>
      </w:r>
      <w:proofErr w:type="spellEnd"/>
      <w:r>
        <w:rPr>
          <w:rFonts w:ascii="Times New Roman" w:eastAsia="Times New Roman" w:hAnsi="Times New Roman" w:cs="Times New Roman"/>
          <w:sz w:val="20"/>
          <w:szCs w:val="20"/>
        </w:rPr>
        <w:t xml:space="preserve"> 12(12), 2372-2378. </w:t>
      </w:r>
      <w:hyperlink r:id="rId31">
        <w:r>
          <w:rPr>
            <w:rFonts w:ascii="Times New Roman" w:eastAsia="Times New Roman" w:hAnsi="Times New Roman" w:cs="Times New Roman"/>
            <w:color w:val="0000FF"/>
            <w:sz w:val="20"/>
            <w:szCs w:val="20"/>
            <w:u w:val="single"/>
          </w:rPr>
          <w:t>https://doi.org/10.1111/2041-210X.13713</w:t>
        </w:r>
      </w:hyperlink>
    </w:p>
    <w:p w14:paraId="00000090" w14:textId="77777777" w:rsidR="00D67D77" w:rsidRDefault="00D67D77">
      <w:pPr>
        <w:spacing w:line="360" w:lineRule="auto"/>
        <w:jc w:val="both"/>
        <w:rPr>
          <w:rFonts w:ascii="Times New Roman" w:eastAsia="Times New Roman" w:hAnsi="Times New Roman" w:cs="Times New Roman"/>
          <w:sz w:val="20"/>
          <w:szCs w:val="20"/>
        </w:rPr>
      </w:pPr>
    </w:p>
    <w:p w14:paraId="00000091" w14:textId="77777777" w:rsidR="00D67D77" w:rsidRDefault="00000000">
      <w:pPr>
        <w:spacing w:line="360" w:lineRule="auto"/>
        <w:jc w:val="both"/>
        <w:rPr>
          <w:rFonts w:ascii="Times New Roman" w:eastAsia="Times New Roman" w:hAnsi="Times New Roman" w:cs="Times New Roman"/>
          <w:color w:val="0000FF"/>
          <w:sz w:val="20"/>
          <w:szCs w:val="20"/>
          <w:u w:val="single"/>
        </w:rPr>
      </w:pPr>
      <w:r>
        <w:rPr>
          <w:rFonts w:ascii="Times New Roman" w:eastAsia="Times New Roman" w:hAnsi="Times New Roman" w:cs="Times New Roman"/>
          <w:sz w:val="20"/>
          <w:szCs w:val="20"/>
        </w:rPr>
        <w:t xml:space="preserve">Beaulieu M, </w:t>
      </w:r>
      <w:proofErr w:type="spellStart"/>
      <w:r>
        <w:rPr>
          <w:rFonts w:ascii="Times New Roman" w:eastAsia="Times New Roman" w:hAnsi="Times New Roman" w:cs="Times New Roman"/>
          <w:sz w:val="20"/>
          <w:szCs w:val="20"/>
        </w:rPr>
        <w:t>Spée</w:t>
      </w:r>
      <w:proofErr w:type="spellEnd"/>
      <w:r>
        <w:rPr>
          <w:rFonts w:ascii="Times New Roman" w:eastAsia="Times New Roman" w:hAnsi="Times New Roman" w:cs="Times New Roman"/>
          <w:sz w:val="20"/>
          <w:szCs w:val="20"/>
        </w:rPr>
        <w:t xml:space="preserve"> M, </w:t>
      </w:r>
      <w:proofErr w:type="spellStart"/>
      <w:r>
        <w:rPr>
          <w:rFonts w:ascii="Times New Roman" w:eastAsia="Times New Roman" w:hAnsi="Times New Roman" w:cs="Times New Roman"/>
          <w:sz w:val="20"/>
          <w:szCs w:val="20"/>
        </w:rPr>
        <w:t>Lazin</w:t>
      </w:r>
      <w:proofErr w:type="spellEnd"/>
      <w:r>
        <w:rPr>
          <w:rFonts w:ascii="Times New Roman" w:eastAsia="Times New Roman" w:hAnsi="Times New Roman" w:cs="Times New Roman"/>
          <w:sz w:val="20"/>
          <w:szCs w:val="20"/>
        </w:rPr>
        <w:t xml:space="preserve"> D, </w:t>
      </w:r>
      <w:proofErr w:type="spellStart"/>
      <w:r>
        <w:rPr>
          <w:rFonts w:ascii="Times New Roman" w:eastAsia="Times New Roman" w:hAnsi="Times New Roman" w:cs="Times New Roman"/>
          <w:sz w:val="20"/>
          <w:szCs w:val="20"/>
        </w:rPr>
        <w:t>Ropert-Coudert</w:t>
      </w:r>
      <w:proofErr w:type="spellEnd"/>
      <w:r>
        <w:rPr>
          <w:rFonts w:ascii="Times New Roman" w:eastAsia="Times New Roman" w:hAnsi="Times New Roman" w:cs="Times New Roman"/>
          <w:sz w:val="20"/>
          <w:szCs w:val="20"/>
        </w:rPr>
        <w:t xml:space="preserve"> Y, le </w:t>
      </w:r>
      <w:proofErr w:type="spellStart"/>
      <w:r>
        <w:rPr>
          <w:rFonts w:ascii="Times New Roman" w:eastAsia="Times New Roman" w:hAnsi="Times New Roman" w:cs="Times New Roman"/>
          <w:sz w:val="20"/>
          <w:szCs w:val="20"/>
        </w:rPr>
        <w:t>Maho</w:t>
      </w:r>
      <w:proofErr w:type="spellEnd"/>
      <w:r>
        <w:rPr>
          <w:rFonts w:ascii="Times New Roman" w:eastAsia="Times New Roman" w:hAnsi="Times New Roman" w:cs="Times New Roman"/>
          <w:sz w:val="20"/>
          <w:szCs w:val="20"/>
        </w:rPr>
        <w:t xml:space="preserve"> Y, </w:t>
      </w:r>
      <w:proofErr w:type="spellStart"/>
      <w:r>
        <w:rPr>
          <w:rFonts w:ascii="Times New Roman" w:eastAsia="Times New Roman" w:hAnsi="Times New Roman" w:cs="Times New Roman"/>
          <w:sz w:val="20"/>
          <w:szCs w:val="20"/>
        </w:rPr>
        <w:t>Ancel</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Raclot</w:t>
      </w:r>
      <w:proofErr w:type="spellEnd"/>
      <w:r>
        <w:rPr>
          <w:rFonts w:ascii="Times New Roman" w:eastAsia="Times New Roman" w:hAnsi="Times New Roman" w:cs="Times New Roman"/>
          <w:sz w:val="20"/>
          <w:szCs w:val="20"/>
        </w:rPr>
        <w:t xml:space="preserve"> T (2010) </w:t>
      </w:r>
      <w:proofErr w:type="spellStart"/>
      <w:r>
        <w:rPr>
          <w:rFonts w:ascii="Times New Roman" w:eastAsia="Times New Roman" w:hAnsi="Times New Roman" w:cs="Times New Roman"/>
          <w:sz w:val="20"/>
          <w:szCs w:val="20"/>
        </w:rPr>
        <w:t>Ecophysiological</w:t>
      </w:r>
      <w:proofErr w:type="spellEnd"/>
      <w:r>
        <w:rPr>
          <w:rFonts w:ascii="Times New Roman" w:eastAsia="Times New Roman" w:hAnsi="Times New Roman" w:cs="Times New Roman"/>
          <w:sz w:val="20"/>
          <w:szCs w:val="20"/>
        </w:rPr>
        <w:t xml:space="preserve"> response of Adélie penguins facing an experimental increase in breeding constraints. J Exp Biol 213 (1): 33–39. </w:t>
      </w:r>
      <w:hyperlink r:id="rId32">
        <w:r>
          <w:rPr>
            <w:rFonts w:ascii="Times New Roman" w:eastAsia="Times New Roman" w:hAnsi="Times New Roman" w:cs="Times New Roman"/>
            <w:color w:val="0000FF"/>
            <w:sz w:val="20"/>
            <w:szCs w:val="20"/>
            <w:u w:val="single"/>
          </w:rPr>
          <w:t>https://doi.org/10.1242/jeb.035378</w:t>
        </w:r>
      </w:hyperlink>
    </w:p>
    <w:p w14:paraId="00000092" w14:textId="77777777" w:rsidR="00D67D77" w:rsidRDefault="00D67D77">
      <w:pPr>
        <w:spacing w:line="360" w:lineRule="auto"/>
        <w:jc w:val="both"/>
        <w:rPr>
          <w:rFonts w:ascii="Times New Roman" w:eastAsia="Times New Roman" w:hAnsi="Times New Roman" w:cs="Times New Roman"/>
          <w:sz w:val="20"/>
          <w:szCs w:val="20"/>
        </w:rPr>
      </w:pPr>
    </w:p>
    <w:p w14:paraId="00000093"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Ben-</w:t>
      </w:r>
      <w:proofErr w:type="spellStart"/>
      <w:r>
        <w:rPr>
          <w:rFonts w:ascii="Times New Roman" w:eastAsia="Times New Roman" w:hAnsi="Times New Roman" w:cs="Times New Roman"/>
          <w:sz w:val="20"/>
          <w:szCs w:val="20"/>
        </w:rPr>
        <w:t>Shachar</w:t>
      </w:r>
      <w:proofErr w:type="spellEnd"/>
      <w:r>
        <w:rPr>
          <w:rFonts w:ascii="Times New Roman" w:eastAsia="Times New Roman" w:hAnsi="Times New Roman" w:cs="Times New Roman"/>
          <w:sz w:val="20"/>
          <w:szCs w:val="20"/>
        </w:rPr>
        <w:t xml:space="preserve"> MS, </w:t>
      </w:r>
      <w:proofErr w:type="spellStart"/>
      <w:r>
        <w:rPr>
          <w:rFonts w:ascii="Times New Roman" w:eastAsia="Times New Roman" w:hAnsi="Times New Roman" w:cs="Times New Roman"/>
          <w:sz w:val="20"/>
          <w:szCs w:val="20"/>
        </w:rPr>
        <w:t>Lüdecke</w:t>
      </w:r>
      <w:proofErr w:type="spellEnd"/>
      <w:r>
        <w:rPr>
          <w:rFonts w:ascii="Times New Roman" w:eastAsia="Times New Roman" w:hAnsi="Times New Roman" w:cs="Times New Roman"/>
          <w:sz w:val="20"/>
          <w:szCs w:val="20"/>
        </w:rPr>
        <w:t xml:space="preserve"> D, Makowski D (2020) </w:t>
      </w:r>
      <w:proofErr w:type="spellStart"/>
      <w:r>
        <w:rPr>
          <w:rFonts w:ascii="Times New Roman" w:eastAsia="Times New Roman" w:hAnsi="Times New Roman" w:cs="Times New Roman"/>
          <w:sz w:val="20"/>
          <w:szCs w:val="20"/>
        </w:rPr>
        <w:t>effectsize</w:t>
      </w:r>
      <w:proofErr w:type="spellEnd"/>
      <w:r>
        <w:rPr>
          <w:rFonts w:ascii="Times New Roman" w:eastAsia="Times New Roman" w:hAnsi="Times New Roman" w:cs="Times New Roman"/>
          <w:sz w:val="20"/>
          <w:szCs w:val="20"/>
        </w:rPr>
        <w:t xml:space="preserve">: Estimation of effect size indices and standardized </w:t>
      </w:r>
      <w:proofErr w:type="spellStart"/>
      <w:r>
        <w:rPr>
          <w:rFonts w:ascii="Times New Roman" w:eastAsia="Times New Roman" w:hAnsi="Times New Roman" w:cs="Times New Roman"/>
          <w:sz w:val="20"/>
          <w:szCs w:val="20"/>
        </w:rPr>
        <w:t>parametersJ</w:t>
      </w:r>
      <w:proofErr w:type="spellEnd"/>
      <w:r>
        <w:rPr>
          <w:rFonts w:ascii="Times New Roman" w:eastAsia="Times New Roman" w:hAnsi="Times New Roman" w:cs="Times New Roman"/>
          <w:sz w:val="20"/>
          <w:szCs w:val="20"/>
        </w:rPr>
        <w:t xml:space="preserve">. Open Source </w:t>
      </w:r>
      <w:proofErr w:type="spellStart"/>
      <w:r>
        <w:rPr>
          <w:rFonts w:ascii="Times New Roman" w:eastAsia="Times New Roman" w:hAnsi="Times New Roman" w:cs="Times New Roman"/>
          <w:sz w:val="20"/>
          <w:szCs w:val="20"/>
        </w:rPr>
        <w:t>Softw</w:t>
      </w:r>
      <w:proofErr w:type="spellEnd"/>
      <w:r>
        <w:rPr>
          <w:rFonts w:ascii="Times New Roman" w:eastAsia="Times New Roman" w:hAnsi="Times New Roman" w:cs="Times New Roman"/>
          <w:sz w:val="20"/>
          <w:szCs w:val="20"/>
        </w:rPr>
        <w:t xml:space="preserve"> 5(56), 2815. </w:t>
      </w:r>
      <w:hyperlink r:id="rId33">
        <w:r>
          <w:rPr>
            <w:rFonts w:ascii="Times New Roman" w:eastAsia="Times New Roman" w:hAnsi="Times New Roman" w:cs="Times New Roman"/>
            <w:color w:val="0000FF"/>
            <w:sz w:val="20"/>
            <w:szCs w:val="20"/>
            <w:u w:val="single"/>
          </w:rPr>
          <w:t>https://doi.org/10.21105/joss.02815</w:t>
        </w:r>
      </w:hyperlink>
    </w:p>
    <w:p w14:paraId="00000094" w14:textId="77777777" w:rsidR="00D67D77" w:rsidRDefault="00D67D77">
      <w:pPr>
        <w:spacing w:line="360" w:lineRule="auto"/>
        <w:jc w:val="both"/>
        <w:rPr>
          <w:rFonts w:ascii="Times New Roman" w:eastAsia="Times New Roman" w:hAnsi="Times New Roman" w:cs="Times New Roman"/>
          <w:sz w:val="20"/>
          <w:szCs w:val="20"/>
        </w:rPr>
      </w:pPr>
    </w:p>
    <w:p w14:paraId="00000095"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Bevan RM, Butler PJ, Woakes AJ, Boyd IL (2002) The energetics of gentoo penguins, </w:t>
      </w:r>
      <w:proofErr w:type="spellStart"/>
      <w:r>
        <w:rPr>
          <w:rFonts w:ascii="Times New Roman" w:eastAsia="Times New Roman" w:hAnsi="Times New Roman" w:cs="Times New Roman"/>
          <w:i/>
          <w:sz w:val="20"/>
          <w:szCs w:val="20"/>
        </w:rPr>
        <w:t>Pygoscelis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papua</w:t>
      </w:r>
      <w:proofErr w:type="spellEnd"/>
      <w:r>
        <w:rPr>
          <w:rFonts w:ascii="Times New Roman" w:eastAsia="Times New Roman" w:hAnsi="Times New Roman" w:cs="Times New Roman"/>
          <w:sz w:val="20"/>
          <w:szCs w:val="20"/>
        </w:rPr>
        <w:t xml:space="preserve">, during the breeding season. </w:t>
      </w:r>
      <w:proofErr w:type="spellStart"/>
      <w:r>
        <w:rPr>
          <w:rFonts w:ascii="Times New Roman" w:eastAsia="Times New Roman" w:hAnsi="Times New Roman" w:cs="Times New Roman"/>
          <w:sz w:val="20"/>
          <w:szCs w:val="20"/>
        </w:rPr>
        <w:t>Funct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Ecol</w:t>
      </w:r>
      <w:proofErr w:type="spellEnd"/>
      <w:r>
        <w:rPr>
          <w:rFonts w:ascii="Times New Roman" w:eastAsia="Times New Roman" w:hAnsi="Times New Roman" w:cs="Times New Roman"/>
          <w:sz w:val="20"/>
          <w:szCs w:val="20"/>
        </w:rPr>
        <w:t xml:space="preserve"> 16(2), 175-190. </w:t>
      </w:r>
      <w:hyperlink r:id="rId34">
        <w:r>
          <w:rPr>
            <w:rFonts w:ascii="Times New Roman" w:eastAsia="Times New Roman" w:hAnsi="Times New Roman" w:cs="Times New Roman"/>
            <w:color w:val="0000FF"/>
            <w:sz w:val="20"/>
            <w:szCs w:val="20"/>
            <w:u w:val="single"/>
          </w:rPr>
          <w:t>https://doi.org/10.1046/j.1365-2435.2002.00622.x</w:t>
        </w:r>
      </w:hyperlink>
    </w:p>
    <w:p w14:paraId="00000096" w14:textId="77777777" w:rsidR="00D67D77" w:rsidRDefault="00D67D77">
      <w:pPr>
        <w:spacing w:line="360" w:lineRule="auto"/>
        <w:jc w:val="both"/>
        <w:rPr>
          <w:rFonts w:ascii="Times New Roman" w:eastAsia="Times New Roman" w:hAnsi="Times New Roman" w:cs="Times New Roman"/>
          <w:sz w:val="20"/>
          <w:szCs w:val="20"/>
        </w:rPr>
      </w:pPr>
    </w:p>
    <w:p w14:paraId="00000097" w14:textId="77777777" w:rsidR="00D67D77" w:rsidRDefault="00000000">
      <w:pPr>
        <w:spacing w:line="360" w:lineRule="auto"/>
        <w:jc w:val="both"/>
        <w:rPr>
          <w:rFonts w:ascii="Times New Roman" w:eastAsia="Times New Roman" w:hAnsi="Times New Roman" w:cs="Times New Roman"/>
          <w:color w:val="0000FF"/>
          <w:sz w:val="20"/>
          <w:szCs w:val="20"/>
          <w:u w:val="single"/>
        </w:rPr>
      </w:pPr>
      <w:proofErr w:type="spellStart"/>
      <w:r>
        <w:rPr>
          <w:rFonts w:ascii="Times New Roman" w:eastAsia="Times New Roman" w:hAnsi="Times New Roman" w:cs="Times New Roman"/>
          <w:sz w:val="20"/>
          <w:szCs w:val="20"/>
        </w:rPr>
        <w:t>Biernacki</w:t>
      </w:r>
      <w:proofErr w:type="spellEnd"/>
      <w:r>
        <w:rPr>
          <w:rFonts w:ascii="Times New Roman" w:eastAsia="Times New Roman" w:hAnsi="Times New Roman" w:cs="Times New Roman"/>
          <w:sz w:val="20"/>
          <w:szCs w:val="20"/>
        </w:rPr>
        <w:t xml:space="preserve"> C, </w:t>
      </w:r>
      <w:proofErr w:type="spellStart"/>
      <w:r>
        <w:rPr>
          <w:rFonts w:ascii="Times New Roman" w:eastAsia="Times New Roman" w:hAnsi="Times New Roman" w:cs="Times New Roman"/>
          <w:sz w:val="20"/>
          <w:szCs w:val="20"/>
        </w:rPr>
        <w:t>Celeux</w:t>
      </w:r>
      <w:proofErr w:type="spellEnd"/>
      <w:r>
        <w:rPr>
          <w:rFonts w:ascii="Times New Roman" w:eastAsia="Times New Roman" w:hAnsi="Times New Roman" w:cs="Times New Roman"/>
          <w:sz w:val="20"/>
          <w:szCs w:val="20"/>
        </w:rPr>
        <w:t xml:space="preserve"> G, </w:t>
      </w:r>
      <w:proofErr w:type="spellStart"/>
      <w:r>
        <w:rPr>
          <w:rFonts w:ascii="Times New Roman" w:eastAsia="Times New Roman" w:hAnsi="Times New Roman" w:cs="Times New Roman"/>
          <w:sz w:val="20"/>
          <w:szCs w:val="20"/>
        </w:rPr>
        <w:t>Govaert</w:t>
      </w:r>
      <w:proofErr w:type="spellEnd"/>
      <w:r>
        <w:rPr>
          <w:rFonts w:ascii="Times New Roman" w:eastAsia="Times New Roman" w:hAnsi="Times New Roman" w:cs="Times New Roman"/>
          <w:sz w:val="20"/>
          <w:szCs w:val="20"/>
        </w:rPr>
        <w:t xml:space="preserve"> G, </w:t>
      </w:r>
      <w:proofErr w:type="spellStart"/>
      <w:r>
        <w:rPr>
          <w:rFonts w:ascii="Times New Roman" w:eastAsia="Times New Roman" w:hAnsi="Times New Roman" w:cs="Times New Roman"/>
          <w:sz w:val="20"/>
          <w:szCs w:val="20"/>
        </w:rPr>
        <w:t>Langrognet</w:t>
      </w:r>
      <w:proofErr w:type="spellEnd"/>
      <w:r>
        <w:rPr>
          <w:rFonts w:ascii="Times New Roman" w:eastAsia="Times New Roman" w:hAnsi="Times New Roman" w:cs="Times New Roman"/>
          <w:sz w:val="20"/>
          <w:szCs w:val="20"/>
        </w:rPr>
        <w:t xml:space="preserve"> F (2006) Model-based cluster and discriminant analysis with the MIXMOD software. </w:t>
      </w:r>
      <w:proofErr w:type="spellStart"/>
      <w:r>
        <w:rPr>
          <w:rFonts w:ascii="Times New Roman" w:eastAsia="Times New Roman" w:hAnsi="Times New Roman" w:cs="Times New Roman"/>
          <w:sz w:val="20"/>
          <w:szCs w:val="20"/>
        </w:rPr>
        <w:t>Comput</w:t>
      </w:r>
      <w:proofErr w:type="spellEnd"/>
      <w:r>
        <w:rPr>
          <w:rFonts w:ascii="Times New Roman" w:eastAsia="Times New Roman" w:hAnsi="Times New Roman" w:cs="Times New Roman"/>
          <w:sz w:val="20"/>
          <w:szCs w:val="20"/>
        </w:rPr>
        <w:t xml:space="preserve"> Stat Data Anal 51(2), 587-600. </w:t>
      </w:r>
      <w:hyperlink r:id="rId35">
        <w:r>
          <w:rPr>
            <w:rFonts w:ascii="Times New Roman" w:eastAsia="Times New Roman" w:hAnsi="Times New Roman" w:cs="Times New Roman"/>
            <w:color w:val="0000FF"/>
            <w:sz w:val="20"/>
            <w:szCs w:val="20"/>
            <w:u w:val="single"/>
          </w:rPr>
          <w:t>https://doi.org/10.1016/j.csda.2005.12.015</w:t>
        </w:r>
      </w:hyperlink>
    </w:p>
    <w:p w14:paraId="00000098" w14:textId="77777777" w:rsidR="00D67D77" w:rsidRDefault="00D67D77">
      <w:pPr>
        <w:spacing w:line="360" w:lineRule="auto"/>
        <w:jc w:val="both"/>
        <w:rPr>
          <w:rFonts w:ascii="Times New Roman" w:eastAsia="Times New Roman" w:hAnsi="Times New Roman" w:cs="Times New Roman"/>
          <w:sz w:val="20"/>
          <w:szCs w:val="20"/>
        </w:rPr>
      </w:pPr>
    </w:p>
    <w:p w14:paraId="00000099"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Birt VL, Birt TP, Goulet D, Cairns DK, </w:t>
      </w:r>
      <w:proofErr w:type="spellStart"/>
      <w:r>
        <w:rPr>
          <w:rFonts w:ascii="Times New Roman" w:eastAsia="Times New Roman" w:hAnsi="Times New Roman" w:cs="Times New Roman"/>
          <w:sz w:val="20"/>
          <w:szCs w:val="20"/>
        </w:rPr>
        <w:t>Montevecchi</w:t>
      </w:r>
      <w:proofErr w:type="spellEnd"/>
      <w:r>
        <w:rPr>
          <w:rFonts w:ascii="Times New Roman" w:eastAsia="Times New Roman" w:hAnsi="Times New Roman" w:cs="Times New Roman"/>
          <w:sz w:val="20"/>
          <w:szCs w:val="20"/>
        </w:rPr>
        <w:t xml:space="preserve"> WA (1987) </w:t>
      </w:r>
      <w:proofErr w:type="spellStart"/>
      <w:r>
        <w:rPr>
          <w:rFonts w:ascii="Times New Roman" w:eastAsia="Times New Roman" w:hAnsi="Times New Roman" w:cs="Times New Roman"/>
          <w:sz w:val="20"/>
          <w:szCs w:val="20"/>
        </w:rPr>
        <w:t>Ashmole's</w:t>
      </w:r>
      <w:proofErr w:type="spellEnd"/>
      <w:r>
        <w:rPr>
          <w:rFonts w:ascii="Times New Roman" w:eastAsia="Times New Roman" w:hAnsi="Times New Roman" w:cs="Times New Roman"/>
          <w:sz w:val="20"/>
          <w:szCs w:val="20"/>
        </w:rPr>
        <w:t xml:space="preserve"> halo: direct evidence for prey depletion by a seabird. Mar </w:t>
      </w:r>
      <w:proofErr w:type="spellStart"/>
      <w:r>
        <w:rPr>
          <w:rFonts w:ascii="Times New Roman" w:eastAsia="Times New Roman" w:hAnsi="Times New Roman" w:cs="Times New Roman"/>
          <w:sz w:val="20"/>
          <w:szCs w:val="20"/>
        </w:rPr>
        <w:t>Ecol</w:t>
      </w:r>
      <w:proofErr w:type="spellEnd"/>
      <w:r>
        <w:rPr>
          <w:rFonts w:ascii="Times New Roman" w:eastAsia="Times New Roman" w:hAnsi="Times New Roman" w:cs="Times New Roman"/>
          <w:sz w:val="20"/>
          <w:szCs w:val="20"/>
        </w:rPr>
        <w:t xml:space="preserve"> Prog Ser 40:205–208.</w:t>
      </w:r>
    </w:p>
    <w:p w14:paraId="0000009A" w14:textId="77777777" w:rsidR="00D67D77" w:rsidRDefault="00D67D77">
      <w:pPr>
        <w:spacing w:line="360" w:lineRule="auto"/>
        <w:jc w:val="both"/>
        <w:rPr>
          <w:rFonts w:ascii="Times New Roman" w:eastAsia="Times New Roman" w:hAnsi="Times New Roman" w:cs="Times New Roman"/>
          <w:sz w:val="20"/>
          <w:szCs w:val="20"/>
        </w:rPr>
      </w:pPr>
    </w:p>
    <w:p w14:paraId="0000009B"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Black CE (2016) A comprehensive review of the phenology of </w:t>
      </w:r>
      <w:proofErr w:type="spellStart"/>
      <w:r>
        <w:rPr>
          <w:rFonts w:ascii="Times New Roman" w:eastAsia="Times New Roman" w:hAnsi="Times New Roman" w:cs="Times New Roman"/>
          <w:sz w:val="20"/>
          <w:szCs w:val="20"/>
        </w:rPr>
        <w:t>Pygoscelis</w:t>
      </w:r>
      <w:proofErr w:type="spellEnd"/>
      <w:r>
        <w:rPr>
          <w:rFonts w:ascii="Times New Roman" w:eastAsia="Times New Roman" w:hAnsi="Times New Roman" w:cs="Times New Roman"/>
          <w:sz w:val="20"/>
          <w:szCs w:val="20"/>
        </w:rPr>
        <w:t xml:space="preserve"> penguins. Polar Biol 39, 405-432. </w:t>
      </w:r>
      <w:hyperlink r:id="rId36">
        <w:r>
          <w:rPr>
            <w:rFonts w:ascii="Times New Roman" w:eastAsia="Times New Roman" w:hAnsi="Times New Roman" w:cs="Times New Roman"/>
            <w:color w:val="0000FF"/>
            <w:sz w:val="20"/>
            <w:szCs w:val="20"/>
            <w:u w:val="single"/>
          </w:rPr>
          <w:t>https://doi.org/10.1007/s00300-015-1807-8</w:t>
        </w:r>
      </w:hyperlink>
    </w:p>
    <w:p w14:paraId="0000009C" w14:textId="77777777" w:rsidR="00D67D77" w:rsidRDefault="00D67D77">
      <w:pPr>
        <w:spacing w:line="360" w:lineRule="auto"/>
        <w:jc w:val="both"/>
        <w:rPr>
          <w:rFonts w:ascii="Times New Roman" w:eastAsia="Times New Roman" w:hAnsi="Times New Roman" w:cs="Times New Roman"/>
          <w:sz w:val="20"/>
          <w:szCs w:val="20"/>
        </w:rPr>
      </w:pPr>
    </w:p>
    <w:p w14:paraId="0000009D"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Boersma PD (2008) Penguins as marine sentinels. Bioscience 58(7), 597-607. </w:t>
      </w:r>
      <w:hyperlink r:id="rId37">
        <w:r>
          <w:rPr>
            <w:rFonts w:ascii="Times New Roman" w:eastAsia="Times New Roman" w:hAnsi="Times New Roman" w:cs="Times New Roman"/>
            <w:color w:val="0000FF"/>
            <w:sz w:val="20"/>
            <w:szCs w:val="20"/>
            <w:u w:val="single"/>
          </w:rPr>
          <w:t>https://doi.org/10.1641/B580707</w:t>
        </w:r>
      </w:hyperlink>
    </w:p>
    <w:p w14:paraId="0000009E" w14:textId="77777777" w:rsidR="00D67D77" w:rsidRDefault="00D67D77">
      <w:pPr>
        <w:spacing w:line="360" w:lineRule="auto"/>
        <w:jc w:val="both"/>
        <w:rPr>
          <w:rFonts w:ascii="Times New Roman" w:eastAsia="Times New Roman" w:hAnsi="Times New Roman" w:cs="Times New Roman"/>
          <w:sz w:val="20"/>
          <w:szCs w:val="20"/>
        </w:rPr>
      </w:pPr>
    </w:p>
    <w:p w14:paraId="0000009F"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Bost CA, Handrich Y, Butler PJ, Fahlman A, Halsey LG, </w:t>
      </w:r>
      <w:proofErr w:type="spellStart"/>
      <w:r>
        <w:rPr>
          <w:rFonts w:ascii="Times New Roman" w:eastAsia="Times New Roman" w:hAnsi="Times New Roman" w:cs="Times New Roman"/>
          <w:sz w:val="20"/>
          <w:szCs w:val="20"/>
        </w:rPr>
        <w:t>Woakes</w:t>
      </w:r>
      <w:proofErr w:type="spellEnd"/>
      <w:r>
        <w:rPr>
          <w:rFonts w:ascii="Times New Roman" w:eastAsia="Times New Roman" w:hAnsi="Times New Roman" w:cs="Times New Roman"/>
          <w:sz w:val="20"/>
          <w:szCs w:val="20"/>
        </w:rPr>
        <w:t xml:space="preserve"> AJ, and </w:t>
      </w:r>
      <w:proofErr w:type="spellStart"/>
      <w:r>
        <w:rPr>
          <w:rFonts w:ascii="Times New Roman" w:eastAsia="Times New Roman" w:hAnsi="Times New Roman" w:cs="Times New Roman"/>
          <w:sz w:val="20"/>
          <w:szCs w:val="20"/>
        </w:rPr>
        <w:t>Ropert-Coudert</w:t>
      </w:r>
      <w:proofErr w:type="spellEnd"/>
      <w:r>
        <w:rPr>
          <w:rFonts w:ascii="Times New Roman" w:eastAsia="Times New Roman" w:hAnsi="Times New Roman" w:cs="Times New Roman"/>
          <w:sz w:val="20"/>
          <w:szCs w:val="20"/>
        </w:rPr>
        <w:t xml:space="preserve">, Y (2007) Changes in dive profiles as an indicator of feeding success in king and Adélie penguins. Deep Res Part II Top Stud </w:t>
      </w:r>
      <w:proofErr w:type="spellStart"/>
      <w:r>
        <w:rPr>
          <w:rFonts w:ascii="Times New Roman" w:eastAsia="Times New Roman" w:hAnsi="Times New Roman" w:cs="Times New Roman"/>
          <w:sz w:val="20"/>
          <w:szCs w:val="20"/>
        </w:rPr>
        <w:t>Oceanogr</w:t>
      </w:r>
      <w:proofErr w:type="spellEnd"/>
      <w:r>
        <w:rPr>
          <w:rFonts w:ascii="Times New Roman" w:eastAsia="Times New Roman" w:hAnsi="Times New Roman" w:cs="Times New Roman"/>
          <w:sz w:val="20"/>
          <w:szCs w:val="20"/>
        </w:rPr>
        <w:t xml:space="preserve"> 54, 248–255. </w:t>
      </w:r>
      <w:hyperlink r:id="rId38">
        <w:r>
          <w:rPr>
            <w:rFonts w:ascii="Times New Roman" w:eastAsia="Times New Roman" w:hAnsi="Times New Roman" w:cs="Times New Roman"/>
            <w:color w:val="0000FF"/>
            <w:sz w:val="20"/>
            <w:szCs w:val="20"/>
            <w:u w:val="single"/>
          </w:rPr>
          <w:t>https://doi.org/10.1016/j.dsr2.2006.11.007</w:t>
        </w:r>
      </w:hyperlink>
    </w:p>
    <w:p w14:paraId="000000A0" w14:textId="77777777" w:rsidR="00D67D77" w:rsidRDefault="00D67D77">
      <w:pPr>
        <w:spacing w:line="360" w:lineRule="auto"/>
        <w:jc w:val="both"/>
        <w:rPr>
          <w:rFonts w:ascii="Times New Roman" w:eastAsia="Times New Roman" w:hAnsi="Times New Roman" w:cs="Times New Roman"/>
          <w:sz w:val="20"/>
          <w:szCs w:val="20"/>
        </w:rPr>
      </w:pPr>
    </w:p>
    <w:p w14:paraId="000000A1"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Braun C, </w:t>
      </w:r>
      <w:proofErr w:type="spellStart"/>
      <w:r>
        <w:rPr>
          <w:rFonts w:ascii="Times New Roman" w:eastAsia="Times New Roman" w:hAnsi="Times New Roman" w:cs="Times New Roman"/>
          <w:sz w:val="20"/>
          <w:szCs w:val="20"/>
        </w:rPr>
        <w:t>Esefeld</w:t>
      </w:r>
      <w:proofErr w:type="spellEnd"/>
      <w:r>
        <w:rPr>
          <w:rFonts w:ascii="Times New Roman" w:eastAsia="Times New Roman" w:hAnsi="Times New Roman" w:cs="Times New Roman"/>
          <w:sz w:val="20"/>
          <w:szCs w:val="20"/>
        </w:rPr>
        <w:t xml:space="preserve"> J, Peter HU (2017) Monitoring the consequences of local climate change on the natural resources of the ice-free regions of Maxwell Bay (King George Island, Antarctic). </w:t>
      </w:r>
      <w:proofErr w:type="spellStart"/>
      <w:r>
        <w:rPr>
          <w:rFonts w:ascii="Times New Roman" w:eastAsia="Times New Roman" w:hAnsi="Times New Roman" w:cs="Times New Roman"/>
          <w:sz w:val="20"/>
          <w:szCs w:val="20"/>
        </w:rPr>
        <w:t>Umweltbundesamt</w:t>
      </w:r>
      <w:proofErr w:type="spellEnd"/>
      <w:r>
        <w:rPr>
          <w:rFonts w:ascii="Times New Roman" w:eastAsia="Times New Roman" w:hAnsi="Times New Roman" w:cs="Times New Roman"/>
          <w:sz w:val="20"/>
          <w:szCs w:val="20"/>
        </w:rPr>
        <w:t>. Texte, 26, 2017.</w:t>
      </w:r>
    </w:p>
    <w:p w14:paraId="000000A2" w14:textId="77777777" w:rsidR="00D67D77" w:rsidRDefault="00D67D77">
      <w:pPr>
        <w:spacing w:line="360" w:lineRule="auto"/>
        <w:jc w:val="both"/>
        <w:rPr>
          <w:rFonts w:ascii="Times New Roman" w:eastAsia="Times New Roman" w:hAnsi="Times New Roman" w:cs="Times New Roman"/>
          <w:sz w:val="20"/>
          <w:szCs w:val="20"/>
        </w:rPr>
      </w:pPr>
    </w:p>
    <w:p w14:paraId="000000A3"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Brooks ME, Kristensen K, van Benthem KJ, Magnusson A, Berg CW, Nielsen A, </w:t>
      </w:r>
      <w:proofErr w:type="spellStart"/>
      <w:r>
        <w:rPr>
          <w:rFonts w:ascii="Times New Roman" w:eastAsia="Times New Roman" w:hAnsi="Times New Roman" w:cs="Times New Roman"/>
          <w:sz w:val="20"/>
          <w:szCs w:val="20"/>
        </w:rPr>
        <w:t>Skaug</w:t>
      </w:r>
      <w:proofErr w:type="spellEnd"/>
      <w:r>
        <w:rPr>
          <w:rFonts w:ascii="Times New Roman" w:eastAsia="Times New Roman" w:hAnsi="Times New Roman" w:cs="Times New Roman"/>
          <w:sz w:val="20"/>
          <w:szCs w:val="20"/>
        </w:rPr>
        <w:t xml:space="preserve"> HJ, </w:t>
      </w:r>
      <w:proofErr w:type="spellStart"/>
      <w:r>
        <w:rPr>
          <w:rFonts w:ascii="Times New Roman" w:eastAsia="Times New Roman" w:hAnsi="Times New Roman" w:cs="Times New Roman"/>
          <w:sz w:val="20"/>
          <w:szCs w:val="20"/>
        </w:rPr>
        <w:t>Mächler</w:t>
      </w:r>
      <w:proofErr w:type="spellEnd"/>
      <w:r>
        <w:rPr>
          <w:rFonts w:ascii="Times New Roman" w:eastAsia="Times New Roman" w:hAnsi="Times New Roman" w:cs="Times New Roman"/>
          <w:sz w:val="20"/>
          <w:szCs w:val="20"/>
        </w:rPr>
        <w:t xml:space="preserve"> M, </w:t>
      </w:r>
      <w:proofErr w:type="spellStart"/>
      <w:r>
        <w:rPr>
          <w:rFonts w:ascii="Times New Roman" w:eastAsia="Times New Roman" w:hAnsi="Times New Roman" w:cs="Times New Roman"/>
          <w:sz w:val="20"/>
          <w:szCs w:val="20"/>
        </w:rPr>
        <w:t>Bolker</w:t>
      </w:r>
      <w:proofErr w:type="spellEnd"/>
      <w:r>
        <w:rPr>
          <w:rFonts w:ascii="Times New Roman" w:eastAsia="Times New Roman" w:hAnsi="Times New Roman" w:cs="Times New Roman"/>
          <w:sz w:val="20"/>
          <w:szCs w:val="20"/>
        </w:rPr>
        <w:t xml:space="preserve"> BM (2017) Modeling zero-inflated count data with </w:t>
      </w:r>
      <w:proofErr w:type="spellStart"/>
      <w:r>
        <w:rPr>
          <w:rFonts w:ascii="Times New Roman" w:eastAsia="Times New Roman" w:hAnsi="Times New Roman" w:cs="Times New Roman"/>
          <w:sz w:val="20"/>
          <w:szCs w:val="20"/>
        </w:rPr>
        <w:t>glmmTMB</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BioRxiv</w:t>
      </w:r>
      <w:proofErr w:type="spellEnd"/>
      <w:r>
        <w:rPr>
          <w:rFonts w:ascii="Times New Roman" w:eastAsia="Times New Roman" w:hAnsi="Times New Roman" w:cs="Times New Roman"/>
          <w:sz w:val="20"/>
          <w:szCs w:val="20"/>
        </w:rPr>
        <w:t xml:space="preserve"> 132753. </w:t>
      </w:r>
      <w:hyperlink r:id="rId39">
        <w:r>
          <w:rPr>
            <w:rFonts w:ascii="Times New Roman" w:eastAsia="Times New Roman" w:hAnsi="Times New Roman" w:cs="Times New Roman"/>
            <w:color w:val="0000FF"/>
            <w:sz w:val="20"/>
            <w:szCs w:val="20"/>
            <w:u w:val="single"/>
          </w:rPr>
          <w:t>https://doi.org/10.1101/132753</w:t>
        </w:r>
      </w:hyperlink>
    </w:p>
    <w:p w14:paraId="000000A4" w14:textId="77777777" w:rsidR="00D67D77" w:rsidRDefault="00D67D77">
      <w:pPr>
        <w:spacing w:line="360" w:lineRule="auto"/>
        <w:jc w:val="both"/>
        <w:rPr>
          <w:rFonts w:ascii="Times New Roman" w:eastAsia="Times New Roman" w:hAnsi="Times New Roman" w:cs="Times New Roman"/>
          <w:sz w:val="20"/>
          <w:szCs w:val="20"/>
        </w:rPr>
      </w:pPr>
    </w:p>
    <w:p w14:paraId="000000A5" w14:textId="77777777" w:rsidR="00D67D77" w:rsidRDefault="00000000">
      <w:pPr>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Calenge</w:t>
      </w:r>
      <w:proofErr w:type="spellEnd"/>
      <w:r>
        <w:rPr>
          <w:rFonts w:ascii="Times New Roman" w:eastAsia="Times New Roman" w:hAnsi="Times New Roman" w:cs="Times New Roman"/>
          <w:sz w:val="20"/>
          <w:szCs w:val="20"/>
        </w:rPr>
        <w:t xml:space="preserve"> C (2006) The package </w:t>
      </w:r>
      <w:proofErr w:type="spellStart"/>
      <w:r>
        <w:rPr>
          <w:rFonts w:ascii="Times New Roman" w:eastAsia="Times New Roman" w:hAnsi="Times New Roman" w:cs="Times New Roman"/>
          <w:sz w:val="20"/>
          <w:szCs w:val="20"/>
        </w:rPr>
        <w:t>adehabitat</w:t>
      </w:r>
      <w:proofErr w:type="spellEnd"/>
      <w:r>
        <w:rPr>
          <w:rFonts w:ascii="Times New Roman" w:eastAsia="Times New Roman" w:hAnsi="Times New Roman" w:cs="Times New Roman"/>
          <w:sz w:val="20"/>
          <w:szCs w:val="20"/>
        </w:rPr>
        <w:t xml:space="preserve"> for the R software: a tool for the analysis of space and habitat use by animals. </w:t>
      </w:r>
      <w:proofErr w:type="spellStart"/>
      <w:r>
        <w:rPr>
          <w:rFonts w:ascii="Times New Roman" w:eastAsia="Times New Roman" w:hAnsi="Times New Roman" w:cs="Times New Roman"/>
          <w:sz w:val="20"/>
          <w:szCs w:val="20"/>
        </w:rPr>
        <w:t>Ecol</w:t>
      </w:r>
      <w:proofErr w:type="spellEnd"/>
      <w:r>
        <w:rPr>
          <w:rFonts w:ascii="Times New Roman" w:eastAsia="Times New Roman" w:hAnsi="Times New Roman" w:cs="Times New Roman"/>
          <w:sz w:val="20"/>
          <w:szCs w:val="20"/>
        </w:rPr>
        <w:t xml:space="preserve"> Modell 197, 516-519. </w:t>
      </w:r>
      <w:hyperlink r:id="rId40">
        <w:r>
          <w:rPr>
            <w:rFonts w:ascii="Times New Roman" w:eastAsia="Times New Roman" w:hAnsi="Times New Roman" w:cs="Times New Roman"/>
            <w:color w:val="0000FF"/>
            <w:sz w:val="20"/>
            <w:szCs w:val="20"/>
            <w:u w:val="single"/>
          </w:rPr>
          <w:t>https://doi.org/10.1016/j.ecolmodel.2006.03.017</w:t>
        </w:r>
      </w:hyperlink>
    </w:p>
    <w:p w14:paraId="000000A6" w14:textId="77777777" w:rsidR="00D67D77" w:rsidRDefault="00D67D77">
      <w:pPr>
        <w:spacing w:line="360" w:lineRule="auto"/>
        <w:jc w:val="both"/>
        <w:rPr>
          <w:rFonts w:ascii="Times New Roman" w:eastAsia="Times New Roman" w:hAnsi="Times New Roman" w:cs="Times New Roman"/>
          <w:sz w:val="20"/>
          <w:szCs w:val="20"/>
        </w:rPr>
      </w:pPr>
    </w:p>
    <w:p w14:paraId="000000A7"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Cherel Y (2008) Isotopic niches of emperor and Adélie penguins in Adélie Land, Antarctica. Mar Biol 154(5), 813–821. </w:t>
      </w:r>
      <w:hyperlink r:id="rId41">
        <w:r>
          <w:rPr>
            <w:rFonts w:ascii="Times New Roman" w:eastAsia="Times New Roman" w:hAnsi="Times New Roman" w:cs="Times New Roman"/>
            <w:color w:val="0000FF"/>
            <w:sz w:val="20"/>
            <w:szCs w:val="20"/>
            <w:u w:val="single"/>
          </w:rPr>
          <w:t>https://doi.org/10.1007/s00227-008-0974-3</w:t>
        </w:r>
      </w:hyperlink>
    </w:p>
    <w:p w14:paraId="000000A8" w14:textId="77777777" w:rsidR="00D67D77" w:rsidRDefault="00D67D77">
      <w:pPr>
        <w:spacing w:line="360" w:lineRule="auto"/>
        <w:jc w:val="both"/>
        <w:rPr>
          <w:rFonts w:ascii="Times New Roman" w:eastAsia="Times New Roman" w:hAnsi="Times New Roman" w:cs="Times New Roman"/>
          <w:sz w:val="20"/>
          <w:szCs w:val="20"/>
        </w:rPr>
      </w:pPr>
    </w:p>
    <w:p w14:paraId="000000A9" w14:textId="77777777" w:rsidR="00D67D77" w:rsidRDefault="00000000">
      <w:pPr>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Chimienti</w:t>
      </w:r>
      <w:proofErr w:type="spellEnd"/>
      <w:r>
        <w:rPr>
          <w:rFonts w:ascii="Times New Roman" w:eastAsia="Times New Roman" w:hAnsi="Times New Roman" w:cs="Times New Roman"/>
          <w:sz w:val="20"/>
          <w:szCs w:val="20"/>
        </w:rPr>
        <w:t xml:space="preserve"> M, </w:t>
      </w:r>
      <w:proofErr w:type="spellStart"/>
      <w:r>
        <w:rPr>
          <w:rFonts w:ascii="Times New Roman" w:eastAsia="Times New Roman" w:hAnsi="Times New Roman" w:cs="Times New Roman"/>
          <w:sz w:val="20"/>
          <w:szCs w:val="20"/>
        </w:rPr>
        <w:t>Cornulier</w:t>
      </w:r>
      <w:proofErr w:type="spellEnd"/>
      <w:r>
        <w:rPr>
          <w:rFonts w:ascii="Times New Roman" w:eastAsia="Times New Roman" w:hAnsi="Times New Roman" w:cs="Times New Roman"/>
          <w:sz w:val="20"/>
          <w:szCs w:val="20"/>
        </w:rPr>
        <w:t xml:space="preserve"> T, Owen E, Bolton M, Davies IM, Travis JM, Scott BE (2016) The use of an unsupervised learning approach for characterizing latent behaviors in accelerometer data. </w:t>
      </w:r>
      <w:proofErr w:type="spellStart"/>
      <w:r>
        <w:rPr>
          <w:rFonts w:ascii="Times New Roman" w:eastAsia="Times New Roman" w:hAnsi="Times New Roman" w:cs="Times New Roman"/>
          <w:sz w:val="20"/>
          <w:szCs w:val="20"/>
        </w:rPr>
        <w:t>Ecol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Evol</w:t>
      </w:r>
      <w:proofErr w:type="spellEnd"/>
      <w:r>
        <w:rPr>
          <w:rFonts w:ascii="Times New Roman" w:eastAsia="Times New Roman" w:hAnsi="Times New Roman" w:cs="Times New Roman"/>
          <w:sz w:val="20"/>
          <w:szCs w:val="20"/>
        </w:rPr>
        <w:t xml:space="preserve"> 6(3), 727-741. </w:t>
      </w:r>
      <w:hyperlink r:id="rId42">
        <w:r>
          <w:rPr>
            <w:rFonts w:ascii="Times New Roman" w:eastAsia="Times New Roman" w:hAnsi="Times New Roman" w:cs="Times New Roman"/>
            <w:color w:val="0000FF"/>
            <w:sz w:val="20"/>
            <w:szCs w:val="20"/>
            <w:u w:val="single"/>
          </w:rPr>
          <w:t>https://doi.org/10.1002/ece3.1914</w:t>
        </w:r>
      </w:hyperlink>
    </w:p>
    <w:p w14:paraId="000000AA" w14:textId="77777777" w:rsidR="00D67D77" w:rsidRDefault="00D67D77">
      <w:pPr>
        <w:spacing w:line="360" w:lineRule="auto"/>
        <w:jc w:val="both"/>
        <w:rPr>
          <w:rFonts w:ascii="Times New Roman" w:eastAsia="Times New Roman" w:hAnsi="Times New Roman" w:cs="Times New Roman"/>
          <w:sz w:val="20"/>
          <w:szCs w:val="20"/>
        </w:rPr>
      </w:pPr>
    </w:p>
    <w:p w14:paraId="000000AB"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Chimienti M, Kato A, Hicks O et al (2022) The role of individual variability on the predictive performance of machine learning applied to large bio-logging datasets. Sci Rep 12(1), 19737. </w:t>
      </w:r>
      <w:hyperlink r:id="rId43">
        <w:r>
          <w:rPr>
            <w:rFonts w:ascii="Times New Roman" w:eastAsia="Times New Roman" w:hAnsi="Times New Roman" w:cs="Times New Roman"/>
            <w:color w:val="0000FF"/>
            <w:sz w:val="20"/>
            <w:szCs w:val="20"/>
            <w:u w:val="single"/>
          </w:rPr>
          <w:t>https://doi.org/10.1038/s41598-022-22258-1</w:t>
        </w:r>
      </w:hyperlink>
    </w:p>
    <w:p w14:paraId="000000AC" w14:textId="77777777" w:rsidR="00D67D77" w:rsidRDefault="00D67D77">
      <w:pPr>
        <w:spacing w:line="360" w:lineRule="auto"/>
        <w:jc w:val="both"/>
        <w:rPr>
          <w:rFonts w:ascii="Times New Roman" w:eastAsia="Times New Roman" w:hAnsi="Times New Roman" w:cs="Times New Roman"/>
          <w:sz w:val="20"/>
          <w:szCs w:val="20"/>
        </w:rPr>
      </w:pPr>
    </w:p>
    <w:p w14:paraId="000000AD"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Cimino MA, Moline MA, Fraser WR, Patterson-Fraser DL, Oliver MJ (2016) Climate-driven sympatry may not lead to foraging competition between congeneric top-predators. Sci Rep 6(1), 1-10. </w:t>
      </w:r>
      <w:hyperlink r:id="rId44">
        <w:r>
          <w:rPr>
            <w:rFonts w:ascii="Times New Roman" w:eastAsia="Times New Roman" w:hAnsi="Times New Roman" w:cs="Times New Roman"/>
            <w:color w:val="0000FF"/>
            <w:sz w:val="20"/>
            <w:szCs w:val="20"/>
            <w:u w:val="single"/>
          </w:rPr>
          <w:t>https://doi.org/10.1038/srep18820</w:t>
        </w:r>
      </w:hyperlink>
    </w:p>
    <w:p w14:paraId="000000AE" w14:textId="77777777" w:rsidR="00D67D77" w:rsidRDefault="00D67D77">
      <w:pPr>
        <w:spacing w:line="360" w:lineRule="auto"/>
        <w:jc w:val="both"/>
        <w:rPr>
          <w:rFonts w:ascii="Times New Roman" w:eastAsia="Times New Roman" w:hAnsi="Times New Roman" w:cs="Times New Roman"/>
          <w:sz w:val="20"/>
          <w:szCs w:val="20"/>
        </w:rPr>
      </w:pPr>
    </w:p>
    <w:p w14:paraId="000000AF"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Cimino MA, Conroy JA, Connors E, Bowman J, Corso A, Ducklow H, Fraser W et al (2023) Long-Term Patterns in Ecosystem Phenology near Palmer Station, Antarctica, from the Perspective of the Adélie Penguin. Ecosphere 14(2): e4417. </w:t>
      </w:r>
      <w:hyperlink r:id="rId45">
        <w:r>
          <w:rPr>
            <w:rFonts w:ascii="Times New Roman" w:eastAsia="Times New Roman" w:hAnsi="Times New Roman" w:cs="Times New Roman"/>
            <w:color w:val="0000FF"/>
            <w:sz w:val="20"/>
            <w:szCs w:val="20"/>
            <w:u w:val="single"/>
          </w:rPr>
          <w:t>https://doi.org/10.1002/ecs2.4417</w:t>
        </w:r>
      </w:hyperlink>
    </w:p>
    <w:p w14:paraId="000000B0" w14:textId="77777777" w:rsidR="00D67D77" w:rsidRDefault="00D67D77">
      <w:pPr>
        <w:spacing w:line="360" w:lineRule="auto"/>
        <w:jc w:val="both"/>
        <w:rPr>
          <w:rFonts w:ascii="Times New Roman" w:eastAsia="Times New Roman" w:hAnsi="Times New Roman" w:cs="Times New Roman"/>
          <w:sz w:val="20"/>
          <w:szCs w:val="20"/>
        </w:rPr>
      </w:pPr>
    </w:p>
    <w:p w14:paraId="000000B1"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Clarke J, Manly B, Kerry K, Gardner H, Franchi E, </w:t>
      </w:r>
      <w:proofErr w:type="spellStart"/>
      <w:r>
        <w:rPr>
          <w:rFonts w:ascii="Times New Roman" w:eastAsia="Times New Roman" w:hAnsi="Times New Roman" w:cs="Times New Roman"/>
          <w:sz w:val="20"/>
          <w:szCs w:val="20"/>
        </w:rPr>
        <w:t>Corsolini</w:t>
      </w:r>
      <w:proofErr w:type="spellEnd"/>
      <w:r>
        <w:rPr>
          <w:rFonts w:ascii="Times New Roman" w:eastAsia="Times New Roman" w:hAnsi="Times New Roman" w:cs="Times New Roman"/>
          <w:sz w:val="20"/>
          <w:szCs w:val="20"/>
        </w:rPr>
        <w:t xml:space="preserve"> S, Focardi S (1998) Sex differences in Adélie penguin foraging strategies. Polar Biol 20, 248–258. </w:t>
      </w:r>
      <w:hyperlink r:id="rId46">
        <w:r>
          <w:rPr>
            <w:rFonts w:ascii="Times New Roman" w:eastAsia="Times New Roman" w:hAnsi="Times New Roman" w:cs="Times New Roman"/>
            <w:color w:val="0000FF"/>
            <w:sz w:val="20"/>
            <w:szCs w:val="20"/>
            <w:u w:val="single"/>
          </w:rPr>
          <w:t>https://doi.org/10.1007/s003000050301</w:t>
        </w:r>
      </w:hyperlink>
    </w:p>
    <w:p w14:paraId="000000B2" w14:textId="77777777" w:rsidR="00D67D77" w:rsidRDefault="00D67D77">
      <w:pPr>
        <w:spacing w:line="360" w:lineRule="auto"/>
        <w:jc w:val="both"/>
        <w:rPr>
          <w:rFonts w:ascii="Times New Roman" w:eastAsia="Times New Roman" w:hAnsi="Times New Roman" w:cs="Times New Roman"/>
          <w:sz w:val="20"/>
          <w:szCs w:val="20"/>
        </w:rPr>
      </w:pPr>
    </w:p>
    <w:p w14:paraId="000000B3" w14:textId="77777777" w:rsidR="00D67D77" w:rsidRPr="00F74DC7" w:rsidRDefault="00000000">
      <w:pPr>
        <w:spacing w:line="360" w:lineRule="auto"/>
        <w:jc w:val="both"/>
        <w:rPr>
          <w:rFonts w:ascii="Times New Roman" w:eastAsia="Times New Roman" w:hAnsi="Times New Roman" w:cs="Times New Roman"/>
          <w:sz w:val="20"/>
          <w:szCs w:val="20"/>
          <w:lang w:val="es-UY"/>
        </w:rPr>
      </w:pPr>
      <w:r>
        <w:rPr>
          <w:rFonts w:ascii="Times New Roman" w:eastAsia="Times New Roman" w:hAnsi="Times New Roman" w:cs="Times New Roman"/>
          <w:sz w:val="20"/>
          <w:szCs w:val="20"/>
        </w:rPr>
        <w:lastRenderedPageBreak/>
        <w:t xml:space="preserve">Clarke J, Emmerson LM, </w:t>
      </w:r>
      <w:proofErr w:type="spellStart"/>
      <w:r>
        <w:rPr>
          <w:rFonts w:ascii="Times New Roman" w:eastAsia="Times New Roman" w:hAnsi="Times New Roman" w:cs="Times New Roman"/>
          <w:sz w:val="20"/>
          <w:szCs w:val="20"/>
        </w:rPr>
        <w:t>Otahal</w:t>
      </w:r>
      <w:proofErr w:type="spellEnd"/>
      <w:r>
        <w:rPr>
          <w:rFonts w:ascii="Times New Roman" w:eastAsia="Times New Roman" w:hAnsi="Times New Roman" w:cs="Times New Roman"/>
          <w:sz w:val="20"/>
          <w:szCs w:val="20"/>
        </w:rPr>
        <w:t xml:space="preserve"> P (2006) Environmental conditions and life history constraints determine foraging range in breeding Adélie penguins. </w:t>
      </w:r>
      <w:r w:rsidRPr="00F74DC7">
        <w:rPr>
          <w:rFonts w:ascii="Times New Roman" w:eastAsia="Times New Roman" w:hAnsi="Times New Roman" w:cs="Times New Roman"/>
          <w:sz w:val="20"/>
          <w:szCs w:val="20"/>
          <w:lang w:val="es-UY"/>
        </w:rPr>
        <w:t xml:space="preserve">Mar </w:t>
      </w:r>
      <w:proofErr w:type="spellStart"/>
      <w:r w:rsidRPr="00F74DC7">
        <w:rPr>
          <w:rFonts w:ascii="Times New Roman" w:eastAsia="Times New Roman" w:hAnsi="Times New Roman" w:cs="Times New Roman"/>
          <w:sz w:val="20"/>
          <w:szCs w:val="20"/>
          <w:lang w:val="es-UY"/>
        </w:rPr>
        <w:t>Ecol</w:t>
      </w:r>
      <w:proofErr w:type="spellEnd"/>
      <w:r w:rsidRPr="00F74DC7">
        <w:rPr>
          <w:rFonts w:ascii="Times New Roman" w:eastAsia="Times New Roman" w:hAnsi="Times New Roman" w:cs="Times New Roman"/>
          <w:sz w:val="20"/>
          <w:szCs w:val="20"/>
          <w:lang w:val="es-UY"/>
        </w:rPr>
        <w:t xml:space="preserve"> </w:t>
      </w:r>
      <w:proofErr w:type="spellStart"/>
      <w:r w:rsidRPr="00F74DC7">
        <w:rPr>
          <w:rFonts w:ascii="Times New Roman" w:eastAsia="Times New Roman" w:hAnsi="Times New Roman" w:cs="Times New Roman"/>
          <w:sz w:val="20"/>
          <w:szCs w:val="20"/>
          <w:lang w:val="es-UY"/>
        </w:rPr>
        <w:t>Prog</w:t>
      </w:r>
      <w:proofErr w:type="spellEnd"/>
      <w:r w:rsidRPr="00F74DC7">
        <w:rPr>
          <w:rFonts w:ascii="Times New Roman" w:eastAsia="Times New Roman" w:hAnsi="Times New Roman" w:cs="Times New Roman"/>
          <w:sz w:val="20"/>
          <w:szCs w:val="20"/>
          <w:lang w:val="es-UY"/>
        </w:rPr>
        <w:t xml:space="preserve"> Ser 310, 247-261. </w:t>
      </w:r>
      <w:hyperlink r:id="rId47">
        <w:r w:rsidRPr="00F74DC7">
          <w:rPr>
            <w:rFonts w:ascii="Times New Roman" w:eastAsia="Times New Roman" w:hAnsi="Times New Roman" w:cs="Times New Roman"/>
            <w:color w:val="0000FF"/>
            <w:sz w:val="20"/>
            <w:szCs w:val="20"/>
            <w:u w:val="single"/>
            <w:lang w:val="es-UY"/>
          </w:rPr>
          <w:t>https://doi.org/10.3354/meps310247</w:t>
        </w:r>
      </w:hyperlink>
    </w:p>
    <w:p w14:paraId="000000B4" w14:textId="77777777" w:rsidR="00D67D77" w:rsidRPr="00F74DC7" w:rsidRDefault="00D67D77">
      <w:pPr>
        <w:spacing w:line="360" w:lineRule="auto"/>
        <w:jc w:val="both"/>
        <w:rPr>
          <w:rFonts w:ascii="Times New Roman" w:eastAsia="Times New Roman" w:hAnsi="Times New Roman" w:cs="Times New Roman"/>
          <w:sz w:val="20"/>
          <w:szCs w:val="20"/>
          <w:lang w:val="es-UY"/>
        </w:rPr>
      </w:pPr>
    </w:p>
    <w:p w14:paraId="000000B5" w14:textId="77777777" w:rsidR="00D67D77" w:rsidRDefault="00000000">
      <w:pPr>
        <w:spacing w:line="360" w:lineRule="auto"/>
        <w:jc w:val="both"/>
        <w:rPr>
          <w:rFonts w:ascii="Times New Roman" w:eastAsia="Times New Roman" w:hAnsi="Times New Roman" w:cs="Times New Roman"/>
          <w:sz w:val="20"/>
          <w:szCs w:val="20"/>
        </w:rPr>
      </w:pPr>
      <w:r w:rsidRPr="00F74DC7">
        <w:rPr>
          <w:rFonts w:ascii="Times New Roman" w:eastAsia="Times New Roman" w:hAnsi="Times New Roman" w:cs="Times New Roman"/>
          <w:sz w:val="20"/>
          <w:szCs w:val="20"/>
          <w:lang w:val="es-UY"/>
        </w:rPr>
        <w:t xml:space="preserve">Coria NR, </w:t>
      </w:r>
      <w:proofErr w:type="spellStart"/>
      <w:r w:rsidRPr="00F74DC7">
        <w:rPr>
          <w:rFonts w:ascii="Times New Roman" w:eastAsia="Times New Roman" w:hAnsi="Times New Roman" w:cs="Times New Roman"/>
          <w:sz w:val="20"/>
          <w:szCs w:val="20"/>
          <w:lang w:val="es-UY"/>
        </w:rPr>
        <w:t>Favero</w:t>
      </w:r>
      <w:proofErr w:type="spellEnd"/>
      <w:r w:rsidRPr="00F74DC7">
        <w:rPr>
          <w:rFonts w:ascii="Times New Roman" w:eastAsia="Times New Roman" w:hAnsi="Times New Roman" w:cs="Times New Roman"/>
          <w:sz w:val="20"/>
          <w:szCs w:val="20"/>
          <w:lang w:val="es-UY"/>
        </w:rPr>
        <w:t xml:space="preserve"> M, Silva P and </w:t>
      </w:r>
      <w:proofErr w:type="spellStart"/>
      <w:r w:rsidRPr="00F74DC7">
        <w:rPr>
          <w:rFonts w:ascii="Times New Roman" w:eastAsia="Times New Roman" w:hAnsi="Times New Roman" w:cs="Times New Roman"/>
          <w:sz w:val="20"/>
          <w:szCs w:val="20"/>
          <w:lang w:val="es-UY"/>
        </w:rPr>
        <w:t>Casaux</w:t>
      </w:r>
      <w:proofErr w:type="spellEnd"/>
      <w:r w:rsidRPr="00F74DC7">
        <w:rPr>
          <w:rFonts w:ascii="Times New Roman" w:eastAsia="Times New Roman" w:hAnsi="Times New Roman" w:cs="Times New Roman"/>
          <w:sz w:val="20"/>
          <w:szCs w:val="20"/>
          <w:lang w:val="es-UY"/>
        </w:rPr>
        <w:t xml:space="preserve"> RJ (1995). </w:t>
      </w:r>
      <w:r>
        <w:rPr>
          <w:rFonts w:ascii="Times New Roman" w:eastAsia="Times New Roman" w:hAnsi="Times New Roman" w:cs="Times New Roman"/>
          <w:sz w:val="20"/>
          <w:szCs w:val="20"/>
        </w:rPr>
        <w:t xml:space="preserve">Breeding birds at Duthoit Point, Nelson Island, South Shetland Islands, Antarctica. Mar </w:t>
      </w:r>
      <w:proofErr w:type="spellStart"/>
      <w:r>
        <w:rPr>
          <w:rFonts w:ascii="Times New Roman" w:eastAsia="Times New Roman" w:hAnsi="Times New Roman" w:cs="Times New Roman"/>
          <w:sz w:val="20"/>
          <w:szCs w:val="20"/>
        </w:rPr>
        <w:t>Ornithol</w:t>
      </w:r>
      <w:proofErr w:type="spellEnd"/>
      <w:r>
        <w:rPr>
          <w:rFonts w:ascii="Times New Roman" w:eastAsia="Times New Roman" w:hAnsi="Times New Roman" w:cs="Times New Roman"/>
          <w:sz w:val="20"/>
          <w:szCs w:val="20"/>
        </w:rPr>
        <w:t xml:space="preserve"> 23, 61-64. </w:t>
      </w:r>
    </w:p>
    <w:p w14:paraId="000000B6" w14:textId="77777777" w:rsidR="00D67D77" w:rsidRDefault="00D67D77">
      <w:pPr>
        <w:spacing w:line="360" w:lineRule="auto"/>
        <w:jc w:val="both"/>
        <w:rPr>
          <w:rFonts w:ascii="Times New Roman" w:eastAsia="Times New Roman" w:hAnsi="Times New Roman" w:cs="Times New Roman"/>
          <w:sz w:val="20"/>
          <w:szCs w:val="20"/>
        </w:rPr>
      </w:pPr>
    </w:p>
    <w:p w14:paraId="000000B7"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Fraser WR and Hofmann EE (2003) A predator’s perspective on causal links between climate change, physical forcing and ecosystem response. Mar </w:t>
      </w:r>
      <w:proofErr w:type="spellStart"/>
      <w:r>
        <w:rPr>
          <w:rFonts w:ascii="Times New Roman" w:eastAsia="Times New Roman" w:hAnsi="Times New Roman" w:cs="Times New Roman"/>
          <w:sz w:val="20"/>
          <w:szCs w:val="20"/>
        </w:rPr>
        <w:t>Ecol</w:t>
      </w:r>
      <w:proofErr w:type="spellEnd"/>
      <w:r>
        <w:rPr>
          <w:rFonts w:ascii="Times New Roman" w:eastAsia="Times New Roman" w:hAnsi="Times New Roman" w:cs="Times New Roman"/>
          <w:sz w:val="20"/>
          <w:szCs w:val="20"/>
        </w:rPr>
        <w:t xml:space="preserve"> Prog Ser 265, 1-15. </w:t>
      </w:r>
      <w:hyperlink r:id="rId48">
        <w:r>
          <w:rPr>
            <w:rFonts w:ascii="Times New Roman" w:eastAsia="Times New Roman" w:hAnsi="Times New Roman" w:cs="Times New Roman"/>
            <w:color w:val="0000FF"/>
            <w:sz w:val="20"/>
            <w:szCs w:val="20"/>
            <w:u w:val="single"/>
          </w:rPr>
          <w:t>https://doi.org/10.3354/meps265001</w:t>
        </w:r>
      </w:hyperlink>
    </w:p>
    <w:p w14:paraId="000000B8" w14:textId="77777777" w:rsidR="00D67D77" w:rsidRDefault="00D67D77">
      <w:pPr>
        <w:spacing w:line="360" w:lineRule="auto"/>
        <w:jc w:val="both"/>
        <w:rPr>
          <w:rFonts w:ascii="Times New Roman" w:eastAsia="Times New Roman" w:hAnsi="Times New Roman" w:cs="Times New Roman"/>
          <w:sz w:val="20"/>
          <w:szCs w:val="20"/>
        </w:rPr>
      </w:pPr>
    </w:p>
    <w:p w14:paraId="000000B9"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Fraser WR and Trivelpiece WZ (1996) Factors Controlling the Distribution of Seabirds: Winter-Summer Heterogeneity in the Distribution of Adélie Penguin Populations. In: Ross RM, Hofmann EE, Quetin LB (eds) Foundations for ecological research west of the Antarctic Peninsula. Antarctic Research Series, 70. American Geophysical Union, Washington, DC, pp 257–272.</w:t>
      </w:r>
    </w:p>
    <w:p w14:paraId="000000BA" w14:textId="77777777" w:rsidR="00D67D77" w:rsidRDefault="00D67D77">
      <w:pPr>
        <w:spacing w:line="360" w:lineRule="auto"/>
        <w:jc w:val="both"/>
        <w:rPr>
          <w:rFonts w:ascii="Times New Roman" w:eastAsia="Times New Roman" w:hAnsi="Times New Roman" w:cs="Times New Roman"/>
          <w:sz w:val="20"/>
          <w:szCs w:val="20"/>
        </w:rPr>
      </w:pPr>
    </w:p>
    <w:p w14:paraId="000000BB" w14:textId="77777777" w:rsidR="00D67D77" w:rsidRDefault="00000000">
      <w:pPr>
        <w:spacing w:line="360" w:lineRule="auto"/>
        <w:jc w:val="both"/>
        <w:rPr>
          <w:rFonts w:ascii="Times New Roman" w:eastAsia="Times New Roman" w:hAnsi="Times New Roman" w:cs="Times New Roman"/>
          <w:color w:val="0000FF"/>
          <w:sz w:val="20"/>
          <w:szCs w:val="20"/>
          <w:u w:val="single"/>
        </w:rPr>
      </w:pPr>
      <w:r>
        <w:rPr>
          <w:rFonts w:ascii="Times New Roman" w:eastAsia="Times New Roman" w:hAnsi="Times New Roman" w:cs="Times New Roman"/>
          <w:color w:val="0000FF"/>
          <w:sz w:val="20"/>
          <w:szCs w:val="20"/>
        </w:rPr>
        <w:t xml:space="preserve">GEBCO Compilation Group (2020) GEBCO 2020 Grid. </w:t>
      </w:r>
      <w:hyperlink r:id="rId49">
        <w:r>
          <w:rPr>
            <w:rFonts w:ascii="Times New Roman" w:eastAsia="Times New Roman" w:hAnsi="Times New Roman" w:cs="Times New Roman"/>
            <w:color w:val="0000FF"/>
            <w:sz w:val="20"/>
            <w:szCs w:val="20"/>
            <w:u w:val="single"/>
          </w:rPr>
          <w:t>https://doi.org/10.5285/a29c5465-b138-234d-e053-6c86abc040b</w:t>
        </w:r>
      </w:hyperlink>
    </w:p>
    <w:p w14:paraId="000000BC" w14:textId="77777777" w:rsidR="00D67D77" w:rsidRDefault="00D67D77">
      <w:pPr>
        <w:spacing w:line="360" w:lineRule="auto"/>
        <w:jc w:val="both"/>
        <w:rPr>
          <w:rFonts w:ascii="Times New Roman" w:eastAsia="Times New Roman" w:hAnsi="Times New Roman" w:cs="Times New Roman"/>
          <w:sz w:val="20"/>
          <w:szCs w:val="20"/>
        </w:rPr>
      </w:pPr>
    </w:p>
    <w:p w14:paraId="000000BD"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Gorman KB, Williams TD, Fraser WR (2014) Ecological Sexual Dimorphism and Environmental Variability within a Community of Antarctic Penguins (Genus </w:t>
      </w:r>
      <w:proofErr w:type="spellStart"/>
      <w:r>
        <w:rPr>
          <w:rFonts w:ascii="Times New Roman" w:eastAsia="Times New Roman" w:hAnsi="Times New Roman" w:cs="Times New Roman"/>
          <w:sz w:val="20"/>
          <w:szCs w:val="20"/>
        </w:rPr>
        <w:t>Pygoscelis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PLoS</w:t>
      </w:r>
      <w:proofErr w:type="spellEnd"/>
      <w:r>
        <w:rPr>
          <w:rFonts w:ascii="Times New Roman" w:eastAsia="Times New Roman" w:hAnsi="Times New Roman" w:cs="Times New Roman"/>
          <w:sz w:val="20"/>
          <w:szCs w:val="20"/>
        </w:rPr>
        <w:t xml:space="preserve"> ONE 9(3): e90081. </w:t>
      </w:r>
      <w:hyperlink r:id="rId50">
        <w:r>
          <w:rPr>
            <w:rFonts w:ascii="Times New Roman" w:eastAsia="Times New Roman" w:hAnsi="Times New Roman" w:cs="Times New Roman"/>
            <w:color w:val="0000FF"/>
            <w:sz w:val="20"/>
            <w:szCs w:val="20"/>
            <w:u w:val="single"/>
          </w:rPr>
          <w:t>https://doi.org/10.1371/journal.pone.0090081</w:t>
        </w:r>
      </w:hyperlink>
    </w:p>
    <w:p w14:paraId="000000BE" w14:textId="77777777" w:rsidR="00D67D77" w:rsidRDefault="00D67D77">
      <w:pPr>
        <w:spacing w:line="360" w:lineRule="auto"/>
        <w:jc w:val="both"/>
        <w:rPr>
          <w:rFonts w:ascii="Times New Roman" w:eastAsia="Times New Roman" w:hAnsi="Times New Roman" w:cs="Times New Roman"/>
          <w:sz w:val="20"/>
          <w:szCs w:val="20"/>
        </w:rPr>
      </w:pPr>
    </w:p>
    <w:p w14:paraId="000000BF"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Handley JM, Baylis AM, Brickle P, Pistorius P (2016) Temporal variation in the diet of gentoo penguins at the Falkland Islands. Polar Biol 39(2), 283-296. </w:t>
      </w:r>
      <w:hyperlink r:id="rId51">
        <w:r>
          <w:rPr>
            <w:rFonts w:ascii="Times New Roman" w:eastAsia="Times New Roman" w:hAnsi="Times New Roman" w:cs="Times New Roman"/>
            <w:color w:val="0000FF"/>
            <w:sz w:val="20"/>
            <w:szCs w:val="20"/>
            <w:u w:val="single"/>
          </w:rPr>
          <w:t>https://doi.org/10.1007/s00300-015-1781-1</w:t>
        </w:r>
      </w:hyperlink>
    </w:p>
    <w:p w14:paraId="000000C0" w14:textId="77777777" w:rsidR="00D67D77" w:rsidRDefault="00D67D77">
      <w:pPr>
        <w:spacing w:line="360" w:lineRule="auto"/>
        <w:jc w:val="both"/>
        <w:rPr>
          <w:rFonts w:ascii="Times New Roman" w:eastAsia="Times New Roman" w:hAnsi="Times New Roman" w:cs="Times New Roman"/>
          <w:sz w:val="20"/>
          <w:szCs w:val="20"/>
        </w:rPr>
      </w:pPr>
    </w:p>
    <w:p w14:paraId="000000C1"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Handley J, </w:t>
      </w:r>
      <w:proofErr w:type="spellStart"/>
      <w:r>
        <w:rPr>
          <w:rFonts w:ascii="Times New Roman" w:eastAsia="Times New Roman" w:hAnsi="Times New Roman" w:cs="Times New Roman"/>
          <w:sz w:val="20"/>
          <w:szCs w:val="20"/>
        </w:rPr>
        <w:t>Rouyer</w:t>
      </w:r>
      <w:proofErr w:type="spellEnd"/>
      <w:r>
        <w:rPr>
          <w:rFonts w:ascii="Times New Roman" w:eastAsia="Times New Roman" w:hAnsi="Times New Roman" w:cs="Times New Roman"/>
          <w:sz w:val="20"/>
          <w:szCs w:val="20"/>
        </w:rPr>
        <w:t xml:space="preserve"> MM, </w:t>
      </w:r>
      <w:proofErr w:type="spellStart"/>
      <w:r>
        <w:rPr>
          <w:rFonts w:ascii="Times New Roman" w:eastAsia="Times New Roman" w:hAnsi="Times New Roman" w:cs="Times New Roman"/>
          <w:sz w:val="20"/>
          <w:szCs w:val="20"/>
        </w:rPr>
        <w:t>Pearmain</w:t>
      </w:r>
      <w:proofErr w:type="spellEnd"/>
      <w:r>
        <w:rPr>
          <w:rFonts w:ascii="Times New Roman" w:eastAsia="Times New Roman" w:hAnsi="Times New Roman" w:cs="Times New Roman"/>
          <w:sz w:val="20"/>
          <w:szCs w:val="20"/>
        </w:rPr>
        <w:t xml:space="preserve"> EJ, Warwick-Evans V, Teschke K, Hinke JT et al (2021) Marine important bird and biodiversity areas for penguins in Antarctica, targets for conservation action. Front Mar Sci 1190. </w:t>
      </w:r>
      <w:hyperlink r:id="rId52">
        <w:r>
          <w:rPr>
            <w:rFonts w:ascii="Times New Roman" w:eastAsia="Times New Roman" w:hAnsi="Times New Roman" w:cs="Times New Roman"/>
            <w:color w:val="0000FF"/>
            <w:sz w:val="20"/>
            <w:szCs w:val="20"/>
            <w:u w:val="single"/>
          </w:rPr>
          <w:t>https://doi.org/10.3389/fmars.2020.602972</w:t>
        </w:r>
      </w:hyperlink>
    </w:p>
    <w:p w14:paraId="000000C2" w14:textId="77777777" w:rsidR="00D67D77" w:rsidRDefault="00D67D77">
      <w:pPr>
        <w:spacing w:line="360" w:lineRule="auto"/>
        <w:jc w:val="both"/>
        <w:rPr>
          <w:rFonts w:ascii="Times New Roman" w:eastAsia="Times New Roman" w:hAnsi="Times New Roman" w:cs="Times New Roman"/>
          <w:sz w:val="20"/>
          <w:szCs w:val="20"/>
        </w:rPr>
      </w:pPr>
    </w:p>
    <w:p w14:paraId="000000C3"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Herman RW, Valls FCL, Hart T et al (2017) Seasonal consistency and individual variation in foraging strategies differ among and within </w:t>
      </w:r>
      <w:proofErr w:type="spellStart"/>
      <w:r>
        <w:rPr>
          <w:rFonts w:ascii="Times New Roman" w:eastAsia="Times New Roman" w:hAnsi="Times New Roman" w:cs="Times New Roman"/>
          <w:sz w:val="20"/>
          <w:szCs w:val="20"/>
        </w:rPr>
        <w:t>Pygoscelis</w:t>
      </w:r>
      <w:proofErr w:type="spellEnd"/>
      <w:r>
        <w:rPr>
          <w:rFonts w:ascii="Times New Roman" w:eastAsia="Times New Roman" w:hAnsi="Times New Roman" w:cs="Times New Roman"/>
          <w:sz w:val="20"/>
          <w:szCs w:val="20"/>
        </w:rPr>
        <w:t xml:space="preserve"> penguin species in the Antarctic Peninsula region. Mar Biol 164, 115. </w:t>
      </w:r>
      <w:hyperlink r:id="rId53">
        <w:r>
          <w:rPr>
            <w:rFonts w:ascii="Times New Roman" w:eastAsia="Times New Roman" w:hAnsi="Times New Roman" w:cs="Times New Roman"/>
            <w:color w:val="0000FF"/>
            <w:sz w:val="20"/>
            <w:szCs w:val="20"/>
            <w:u w:val="single"/>
          </w:rPr>
          <w:t>https://doi.org/10.1007/s00227-017-3142-9</w:t>
        </w:r>
      </w:hyperlink>
    </w:p>
    <w:p w14:paraId="000000C4" w14:textId="77777777" w:rsidR="00D67D77" w:rsidRDefault="00D67D77">
      <w:pPr>
        <w:spacing w:line="360" w:lineRule="auto"/>
        <w:jc w:val="both"/>
        <w:rPr>
          <w:rFonts w:ascii="Times New Roman" w:eastAsia="Times New Roman" w:hAnsi="Times New Roman" w:cs="Times New Roman"/>
          <w:sz w:val="20"/>
          <w:szCs w:val="20"/>
        </w:rPr>
      </w:pPr>
    </w:p>
    <w:p w14:paraId="000000C5"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Hindell MA, Reisinger RR, </w:t>
      </w:r>
      <w:proofErr w:type="spellStart"/>
      <w:r>
        <w:rPr>
          <w:rFonts w:ascii="Times New Roman" w:eastAsia="Times New Roman" w:hAnsi="Times New Roman" w:cs="Times New Roman"/>
          <w:sz w:val="20"/>
          <w:szCs w:val="20"/>
        </w:rPr>
        <w:t>Ropert-Coudert</w:t>
      </w:r>
      <w:proofErr w:type="spellEnd"/>
      <w:r>
        <w:rPr>
          <w:rFonts w:ascii="Times New Roman" w:eastAsia="Times New Roman" w:hAnsi="Times New Roman" w:cs="Times New Roman"/>
          <w:sz w:val="20"/>
          <w:szCs w:val="20"/>
        </w:rPr>
        <w:t xml:space="preserve"> Y et al (2020) Tracking of marine predators to protect Southern Ocean ecosystems. Nature 580 (7801), 87-92. </w:t>
      </w:r>
      <w:hyperlink r:id="rId54">
        <w:r>
          <w:rPr>
            <w:rFonts w:ascii="Times New Roman" w:eastAsia="Times New Roman" w:hAnsi="Times New Roman" w:cs="Times New Roman"/>
            <w:color w:val="0000FF"/>
            <w:sz w:val="20"/>
            <w:szCs w:val="20"/>
            <w:u w:val="single"/>
          </w:rPr>
          <w:t>https://doi.org/10.1038/s41586-020-2126-y</w:t>
        </w:r>
      </w:hyperlink>
    </w:p>
    <w:p w14:paraId="000000C6" w14:textId="77777777" w:rsidR="00D67D77" w:rsidRDefault="00D67D77">
      <w:pPr>
        <w:spacing w:line="360" w:lineRule="auto"/>
        <w:jc w:val="both"/>
        <w:rPr>
          <w:rFonts w:ascii="Times New Roman" w:eastAsia="Times New Roman" w:hAnsi="Times New Roman" w:cs="Times New Roman"/>
          <w:sz w:val="20"/>
          <w:szCs w:val="20"/>
        </w:rPr>
      </w:pPr>
    </w:p>
    <w:p w14:paraId="000000C7"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Hinke JT, Trivelpiece SG, Trivelpiece WZ (2014) Adélie penguin (</w:t>
      </w:r>
      <w:proofErr w:type="spellStart"/>
      <w:r>
        <w:rPr>
          <w:rFonts w:ascii="Times New Roman" w:eastAsia="Times New Roman" w:hAnsi="Times New Roman" w:cs="Times New Roman"/>
          <w:i/>
          <w:sz w:val="20"/>
          <w:szCs w:val="20"/>
        </w:rPr>
        <w:t>Pygoscelis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adeliae</w:t>
      </w:r>
      <w:proofErr w:type="spellEnd"/>
      <w:r>
        <w:rPr>
          <w:rFonts w:ascii="Times New Roman" w:eastAsia="Times New Roman" w:hAnsi="Times New Roman" w:cs="Times New Roman"/>
          <w:sz w:val="20"/>
          <w:szCs w:val="20"/>
        </w:rPr>
        <w:t>) survival rates and their relationship to environmental indices in the South Shetland Islands, Antarctica. Polar Biol 37, 1797-1809.</w:t>
      </w:r>
      <w:r>
        <w:t xml:space="preserve"> </w:t>
      </w:r>
      <w:hyperlink r:id="rId55">
        <w:r>
          <w:rPr>
            <w:rFonts w:ascii="Times New Roman" w:eastAsia="Times New Roman" w:hAnsi="Times New Roman" w:cs="Times New Roman"/>
            <w:color w:val="0000FF"/>
            <w:sz w:val="20"/>
            <w:szCs w:val="20"/>
            <w:u w:val="single"/>
          </w:rPr>
          <w:t>https://doi.org/10.1007/s00300-014-1562-2</w:t>
        </w:r>
      </w:hyperlink>
    </w:p>
    <w:p w14:paraId="000000C8" w14:textId="77777777" w:rsidR="00D67D77" w:rsidRDefault="00D67D77">
      <w:pPr>
        <w:spacing w:line="360" w:lineRule="auto"/>
        <w:jc w:val="both"/>
        <w:rPr>
          <w:rFonts w:ascii="Times New Roman" w:eastAsia="Times New Roman" w:hAnsi="Times New Roman" w:cs="Times New Roman"/>
          <w:sz w:val="20"/>
          <w:szCs w:val="20"/>
        </w:rPr>
      </w:pPr>
    </w:p>
    <w:p w14:paraId="000000C9"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Hinke JT, Cossio AM, Goebel ME, Reiss CS, Trivelpiece WZ, Watters GM (2017) Identifying Risk: Concurrent Overlap of the Antarctic Krill Fishery with Krill-Dependent Predators in the Scotia Sea. </w:t>
      </w:r>
      <w:proofErr w:type="spellStart"/>
      <w:r>
        <w:rPr>
          <w:rFonts w:ascii="Times New Roman" w:eastAsia="Times New Roman" w:hAnsi="Times New Roman" w:cs="Times New Roman"/>
          <w:sz w:val="20"/>
          <w:szCs w:val="20"/>
        </w:rPr>
        <w:t>PLoS</w:t>
      </w:r>
      <w:proofErr w:type="spellEnd"/>
      <w:r>
        <w:rPr>
          <w:rFonts w:ascii="Times New Roman" w:eastAsia="Times New Roman" w:hAnsi="Times New Roman" w:cs="Times New Roman"/>
          <w:sz w:val="20"/>
          <w:szCs w:val="20"/>
        </w:rPr>
        <w:t xml:space="preserve"> ONE 12(1): e0170132.</w:t>
      </w:r>
      <w:r>
        <w:rPr>
          <w:rFonts w:ascii="Times New Roman" w:eastAsia="Times New Roman" w:hAnsi="Times New Roman" w:cs="Times New Roman"/>
          <w:color w:val="0000FF"/>
          <w:sz w:val="20"/>
          <w:szCs w:val="20"/>
          <w:u w:val="single"/>
        </w:rPr>
        <w:t xml:space="preserve"> </w:t>
      </w:r>
      <w:hyperlink r:id="rId56">
        <w:r>
          <w:rPr>
            <w:rFonts w:ascii="Times New Roman" w:eastAsia="Times New Roman" w:hAnsi="Times New Roman" w:cs="Times New Roman"/>
            <w:color w:val="0000FF"/>
            <w:sz w:val="20"/>
            <w:szCs w:val="20"/>
            <w:u w:val="single"/>
          </w:rPr>
          <w:t>https://doi.org/10.1371/journal.pone.0170132</w:t>
        </w:r>
      </w:hyperlink>
    </w:p>
    <w:p w14:paraId="000000CA" w14:textId="77777777" w:rsidR="00D67D77" w:rsidRDefault="00D67D77">
      <w:pPr>
        <w:spacing w:line="360" w:lineRule="auto"/>
        <w:jc w:val="both"/>
        <w:rPr>
          <w:rFonts w:ascii="Times New Roman" w:eastAsia="Times New Roman" w:hAnsi="Times New Roman" w:cs="Times New Roman"/>
          <w:sz w:val="20"/>
          <w:szCs w:val="20"/>
        </w:rPr>
      </w:pPr>
    </w:p>
    <w:p w14:paraId="000000CB" w14:textId="77777777" w:rsidR="00D67D77" w:rsidRDefault="00000000">
      <w:pPr>
        <w:spacing w:line="360" w:lineRule="auto"/>
        <w:jc w:val="both"/>
        <w:rPr>
          <w:rFonts w:ascii="Times New Roman" w:eastAsia="Times New Roman" w:hAnsi="Times New Roman" w:cs="Times New Roman"/>
          <w:color w:val="0000FF"/>
          <w:sz w:val="20"/>
          <w:szCs w:val="20"/>
        </w:rPr>
      </w:pPr>
      <w:r>
        <w:rPr>
          <w:rFonts w:ascii="Times New Roman" w:eastAsia="Times New Roman" w:hAnsi="Times New Roman" w:cs="Times New Roman"/>
          <w:sz w:val="20"/>
          <w:szCs w:val="20"/>
        </w:rPr>
        <w:t xml:space="preserve">Hogg CJ, Lea MA, Gual Soler M, Vasquez VN, Payo-Payo A, Parrott ML, Santos M, Shaw C, Brooks CM (2020) Protect the Antarctic Peninsula—before it’s too late. Nature, 586(7830), 496-499. </w:t>
      </w:r>
      <w:hyperlink r:id="rId57">
        <w:r>
          <w:rPr>
            <w:rFonts w:ascii="Times New Roman" w:eastAsia="Times New Roman" w:hAnsi="Times New Roman" w:cs="Times New Roman"/>
            <w:color w:val="0000FF"/>
            <w:sz w:val="20"/>
            <w:szCs w:val="20"/>
            <w:u w:val="single"/>
          </w:rPr>
          <w:t>https://doi.org/10.1038/d41586-020-02939-5</w:t>
        </w:r>
      </w:hyperlink>
    </w:p>
    <w:p w14:paraId="000000CC" w14:textId="77777777" w:rsidR="00D67D77" w:rsidRDefault="00D67D77">
      <w:pPr>
        <w:spacing w:line="360" w:lineRule="auto"/>
        <w:jc w:val="both"/>
        <w:rPr>
          <w:rFonts w:ascii="Times New Roman" w:eastAsia="Times New Roman" w:hAnsi="Times New Roman" w:cs="Times New Roman"/>
          <w:sz w:val="20"/>
          <w:szCs w:val="20"/>
        </w:rPr>
      </w:pPr>
    </w:p>
    <w:p w14:paraId="000000CD" w14:textId="77777777" w:rsidR="00D67D77" w:rsidRDefault="00000000">
      <w:pPr>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color w:val="0000FF"/>
          <w:sz w:val="20"/>
          <w:szCs w:val="20"/>
        </w:rPr>
        <w:t>Hothorn</w:t>
      </w:r>
      <w:proofErr w:type="spellEnd"/>
      <w:r>
        <w:rPr>
          <w:rFonts w:ascii="Times New Roman" w:eastAsia="Times New Roman" w:hAnsi="Times New Roman" w:cs="Times New Roman"/>
          <w:color w:val="0000FF"/>
          <w:sz w:val="20"/>
          <w:szCs w:val="20"/>
        </w:rPr>
        <w:t xml:space="preserve"> T, </w:t>
      </w:r>
      <w:proofErr w:type="spellStart"/>
      <w:r>
        <w:rPr>
          <w:rFonts w:ascii="Times New Roman" w:eastAsia="Times New Roman" w:hAnsi="Times New Roman" w:cs="Times New Roman"/>
          <w:color w:val="0000FF"/>
          <w:sz w:val="20"/>
          <w:szCs w:val="20"/>
        </w:rPr>
        <w:t>Bretz</w:t>
      </w:r>
      <w:proofErr w:type="spellEnd"/>
      <w:r>
        <w:rPr>
          <w:rFonts w:ascii="Times New Roman" w:eastAsia="Times New Roman" w:hAnsi="Times New Roman" w:cs="Times New Roman"/>
          <w:color w:val="0000FF"/>
          <w:sz w:val="20"/>
          <w:szCs w:val="20"/>
        </w:rPr>
        <w:t xml:space="preserve"> F and Westfall P (2008) Simultaneous Inference in General Parametric Models. </w:t>
      </w:r>
      <w:proofErr w:type="spellStart"/>
      <w:r>
        <w:rPr>
          <w:rFonts w:ascii="Times New Roman" w:eastAsia="Times New Roman" w:hAnsi="Times New Roman" w:cs="Times New Roman"/>
          <w:color w:val="0000FF"/>
          <w:sz w:val="20"/>
          <w:szCs w:val="20"/>
        </w:rPr>
        <w:t>Biom</w:t>
      </w:r>
      <w:proofErr w:type="spellEnd"/>
      <w:r>
        <w:rPr>
          <w:rFonts w:ascii="Times New Roman" w:eastAsia="Times New Roman" w:hAnsi="Times New Roman" w:cs="Times New Roman"/>
          <w:color w:val="0000FF"/>
          <w:sz w:val="20"/>
          <w:szCs w:val="20"/>
        </w:rPr>
        <w:t xml:space="preserve"> J 50: 346-363.</w:t>
      </w:r>
      <w:r>
        <w:rPr>
          <w:rFonts w:ascii="Times New Roman" w:eastAsia="Times New Roman" w:hAnsi="Times New Roman" w:cs="Times New Roman"/>
          <w:color w:val="0000FF"/>
          <w:sz w:val="20"/>
          <w:szCs w:val="20"/>
          <w:u w:val="single"/>
        </w:rPr>
        <w:t xml:space="preserve"> </w:t>
      </w:r>
      <w:hyperlink r:id="rId58">
        <w:r>
          <w:rPr>
            <w:rFonts w:ascii="Times New Roman" w:eastAsia="Times New Roman" w:hAnsi="Times New Roman" w:cs="Times New Roman"/>
            <w:color w:val="0000FF"/>
            <w:sz w:val="20"/>
            <w:szCs w:val="20"/>
            <w:u w:val="single"/>
          </w:rPr>
          <w:t>https://doi.org/10.1002/bimj.20081042</w:t>
        </w:r>
      </w:hyperlink>
    </w:p>
    <w:p w14:paraId="000000CE" w14:textId="77777777" w:rsidR="00D67D77" w:rsidRDefault="00D67D77">
      <w:pPr>
        <w:spacing w:line="360" w:lineRule="auto"/>
        <w:jc w:val="both"/>
        <w:rPr>
          <w:rFonts w:ascii="Times New Roman" w:eastAsia="Times New Roman" w:hAnsi="Times New Roman" w:cs="Times New Roman"/>
          <w:color w:val="0000FF"/>
          <w:sz w:val="20"/>
          <w:szCs w:val="20"/>
          <w:u w:val="single"/>
        </w:rPr>
      </w:pPr>
    </w:p>
    <w:p w14:paraId="000000CF"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Ito K, Watanabe YY, Kokubun N and Takahashi A (2021) Inter-colony foraging area segregation quantified in small colonies of Adélie Penguins. Ibis 163: 90-98. </w:t>
      </w:r>
      <w:hyperlink r:id="rId59">
        <w:r>
          <w:rPr>
            <w:rFonts w:ascii="Times New Roman" w:eastAsia="Times New Roman" w:hAnsi="Times New Roman" w:cs="Times New Roman"/>
            <w:color w:val="0000FF"/>
            <w:sz w:val="20"/>
            <w:szCs w:val="20"/>
            <w:u w:val="single"/>
          </w:rPr>
          <w:t>https://doi.org/10.1111/ibi.12837</w:t>
        </w:r>
      </w:hyperlink>
    </w:p>
    <w:p w14:paraId="000000D0" w14:textId="77777777" w:rsidR="00D67D77" w:rsidRDefault="00D67D77">
      <w:pPr>
        <w:spacing w:line="360" w:lineRule="auto"/>
        <w:jc w:val="both"/>
        <w:rPr>
          <w:rFonts w:ascii="Times New Roman" w:eastAsia="Times New Roman" w:hAnsi="Times New Roman" w:cs="Times New Roman"/>
          <w:sz w:val="20"/>
          <w:szCs w:val="20"/>
        </w:rPr>
      </w:pPr>
    </w:p>
    <w:p w14:paraId="000000D1" w14:textId="77777777" w:rsidR="00D67D77" w:rsidRDefault="00000000">
      <w:pPr>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Jarman</w:t>
      </w:r>
      <w:proofErr w:type="spellEnd"/>
      <w:r>
        <w:rPr>
          <w:rFonts w:ascii="Times New Roman" w:eastAsia="Times New Roman" w:hAnsi="Times New Roman" w:cs="Times New Roman"/>
          <w:sz w:val="20"/>
          <w:szCs w:val="20"/>
        </w:rPr>
        <w:t xml:space="preserve"> SN, </w:t>
      </w:r>
      <w:proofErr w:type="spellStart"/>
      <w:r>
        <w:rPr>
          <w:rFonts w:ascii="Times New Roman" w:eastAsia="Times New Roman" w:hAnsi="Times New Roman" w:cs="Times New Roman"/>
          <w:sz w:val="20"/>
          <w:szCs w:val="20"/>
        </w:rPr>
        <w:t>Mcinnes</w:t>
      </w:r>
      <w:proofErr w:type="spellEnd"/>
      <w:r>
        <w:rPr>
          <w:rFonts w:ascii="Times New Roman" w:eastAsia="Times New Roman" w:hAnsi="Times New Roman" w:cs="Times New Roman"/>
          <w:sz w:val="20"/>
          <w:szCs w:val="20"/>
        </w:rPr>
        <w:t xml:space="preserve"> JC, </w:t>
      </w:r>
      <w:proofErr w:type="spellStart"/>
      <w:r>
        <w:rPr>
          <w:rFonts w:ascii="Times New Roman" w:eastAsia="Times New Roman" w:hAnsi="Times New Roman" w:cs="Times New Roman"/>
          <w:sz w:val="20"/>
          <w:szCs w:val="20"/>
        </w:rPr>
        <w:t>FauxC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Polanowski</w:t>
      </w:r>
      <w:proofErr w:type="spellEnd"/>
      <w:r>
        <w:rPr>
          <w:rFonts w:ascii="Times New Roman" w:eastAsia="Times New Roman" w:hAnsi="Times New Roman" w:cs="Times New Roman"/>
          <w:sz w:val="20"/>
          <w:szCs w:val="20"/>
        </w:rPr>
        <w:t xml:space="preserve"> AM, </w:t>
      </w:r>
      <w:proofErr w:type="spellStart"/>
      <w:r>
        <w:rPr>
          <w:rFonts w:ascii="Times New Roman" w:eastAsia="Times New Roman" w:hAnsi="Times New Roman" w:cs="Times New Roman"/>
          <w:sz w:val="20"/>
          <w:szCs w:val="20"/>
        </w:rPr>
        <w:t>Marthick</w:t>
      </w:r>
      <w:proofErr w:type="spellEnd"/>
      <w:r>
        <w:rPr>
          <w:rFonts w:ascii="Times New Roman" w:eastAsia="Times New Roman" w:hAnsi="Times New Roman" w:cs="Times New Roman"/>
          <w:sz w:val="20"/>
          <w:szCs w:val="20"/>
        </w:rPr>
        <w:t xml:space="preserve"> J, </w:t>
      </w:r>
      <w:proofErr w:type="spellStart"/>
      <w:r>
        <w:rPr>
          <w:rFonts w:ascii="Times New Roman" w:eastAsia="Times New Roman" w:hAnsi="Times New Roman" w:cs="Times New Roman"/>
          <w:sz w:val="20"/>
          <w:szCs w:val="20"/>
        </w:rPr>
        <w:t>Deagle</w:t>
      </w:r>
      <w:proofErr w:type="spellEnd"/>
      <w:r>
        <w:rPr>
          <w:rFonts w:ascii="Times New Roman" w:eastAsia="Times New Roman" w:hAnsi="Times New Roman" w:cs="Times New Roman"/>
          <w:sz w:val="20"/>
          <w:szCs w:val="20"/>
        </w:rPr>
        <w:t xml:space="preserve"> BE, </w:t>
      </w:r>
      <w:proofErr w:type="spellStart"/>
      <w:r>
        <w:rPr>
          <w:rFonts w:ascii="Times New Roman" w:eastAsia="Times New Roman" w:hAnsi="Times New Roman" w:cs="Times New Roman"/>
          <w:sz w:val="20"/>
          <w:szCs w:val="20"/>
        </w:rPr>
        <w:t>Southwell</w:t>
      </w:r>
      <w:proofErr w:type="spellEnd"/>
      <w:r>
        <w:rPr>
          <w:rFonts w:ascii="Times New Roman" w:eastAsia="Times New Roman" w:hAnsi="Times New Roman" w:cs="Times New Roman"/>
          <w:sz w:val="20"/>
          <w:szCs w:val="20"/>
        </w:rPr>
        <w:t xml:space="preserve"> C, Emmerson L (2013) Adélie Penguin Population Diet Monitoring by Analysis Ade of Food DNA in Scats. </w:t>
      </w:r>
      <w:proofErr w:type="spellStart"/>
      <w:r>
        <w:rPr>
          <w:rFonts w:ascii="Times New Roman" w:eastAsia="Times New Roman" w:hAnsi="Times New Roman" w:cs="Times New Roman"/>
          <w:sz w:val="20"/>
          <w:szCs w:val="20"/>
        </w:rPr>
        <w:t>PloS</w:t>
      </w:r>
      <w:proofErr w:type="spellEnd"/>
      <w:r>
        <w:rPr>
          <w:rFonts w:ascii="Times New Roman" w:eastAsia="Times New Roman" w:hAnsi="Times New Roman" w:cs="Times New Roman"/>
          <w:sz w:val="20"/>
          <w:szCs w:val="20"/>
        </w:rPr>
        <w:t xml:space="preserve"> One, 8(12), e82227. </w:t>
      </w:r>
      <w:hyperlink r:id="rId60">
        <w:r>
          <w:rPr>
            <w:rFonts w:ascii="Times New Roman" w:eastAsia="Times New Roman" w:hAnsi="Times New Roman" w:cs="Times New Roman"/>
            <w:color w:val="0000FF"/>
            <w:sz w:val="20"/>
            <w:szCs w:val="20"/>
            <w:u w:val="single"/>
          </w:rPr>
          <w:t>https://doi.org/10.1371/journal.pone.0082227</w:t>
        </w:r>
      </w:hyperlink>
    </w:p>
    <w:p w14:paraId="000000D2" w14:textId="77777777" w:rsidR="00D67D77" w:rsidRDefault="00D67D77">
      <w:pPr>
        <w:spacing w:line="360" w:lineRule="auto"/>
        <w:jc w:val="both"/>
        <w:rPr>
          <w:rFonts w:ascii="Times New Roman" w:eastAsia="Times New Roman" w:hAnsi="Times New Roman" w:cs="Times New Roman"/>
          <w:sz w:val="20"/>
          <w:szCs w:val="20"/>
        </w:rPr>
      </w:pPr>
    </w:p>
    <w:p w14:paraId="000000D3" w14:textId="77777777" w:rsidR="00D67D77" w:rsidRDefault="00000000">
      <w:pPr>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Juáres</w:t>
      </w:r>
      <w:proofErr w:type="spellEnd"/>
      <w:r>
        <w:rPr>
          <w:rFonts w:ascii="Times New Roman" w:eastAsia="Times New Roman" w:hAnsi="Times New Roman" w:cs="Times New Roman"/>
          <w:sz w:val="20"/>
          <w:szCs w:val="20"/>
        </w:rPr>
        <w:t xml:space="preserve"> MA (2013) </w:t>
      </w:r>
      <w:proofErr w:type="spellStart"/>
      <w:r>
        <w:rPr>
          <w:rFonts w:ascii="Times New Roman" w:eastAsia="Times New Roman" w:hAnsi="Times New Roman" w:cs="Times New Roman"/>
          <w:sz w:val="20"/>
          <w:szCs w:val="20"/>
        </w:rPr>
        <w:t>Biologıa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reproductiva</w:t>
      </w:r>
      <w:proofErr w:type="spellEnd"/>
      <w:r>
        <w:rPr>
          <w:rFonts w:ascii="Times New Roman" w:eastAsia="Times New Roman" w:hAnsi="Times New Roman" w:cs="Times New Roman"/>
          <w:sz w:val="20"/>
          <w:szCs w:val="20"/>
        </w:rPr>
        <w:t xml:space="preserve"> y </w:t>
      </w:r>
      <w:proofErr w:type="spellStart"/>
      <w:r>
        <w:rPr>
          <w:rFonts w:ascii="Times New Roman" w:eastAsia="Times New Roman" w:hAnsi="Times New Roman" w:cs="Times New Roman"/>
          <w:sz w:val="20"/>
          <w:szCs w:val="20"/>
        </w:rPr>
        <w:t>ecología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trófica</w:t>
      </w:r>
      <w:proofErr w:type="spellEnd"/>
      <w:r>
        <w:rPr>
          <w:rFonts w:ascii="Times New Roman" w:eastAsia="Times New Roman" w:hAnsi="Times New Roman" w:cs="Times New Roman"/>
          <w:sz w:val="20"/>
          <w:szCs w:val="20"/>
        </w:rPr>
        <w:t xml:space="preserve"> de dos </w:t>
      </w:r>
      <w:proofErr w:type="spellStart"/>
      <w:r>
        <w:rPr>
          <w:rFonts w:ascii="Times New Roman" w:eastAsia="Times New Roman" w:hAnsi="Times New Roman" w:cs="Times New Roman"/>
          <w:sz w:val="20"/>
          <w:szCs w:val="20"/>
        </w:rPr>
        <w:t>especies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simpatricas</w:t>
      </w:r>
      <w:proofErr w:type="spellEnd"/>
      <w:r>
        <w:rPr>
          <w:rFonts w:ascii="Times New Roman" w:eastAsia="Times New Roman" w:hAnsi="Times New Roman" w:cs="Times New Roman"/>
          <w:sz w:val="20"/>
          <w:szCs w:val="20"/>
        </w:rPr>
        <w:t xml:space="preserve"> del </w:t>
      </w:r>
      <w:proofErr w:type="spellStart"/>
      <w:r>
        <w:rPr>
          <w:rFonts w:ascii="Times New Roman" w:eastAsia="Times New Roman" w:hAnsi="Times New Roman" w:cs="Times New Roman"/>
          <w:sz w:val="20"/>
          <w:szCs w:val="20"/>
        </w:rPr>
        <w:t>género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Pygoscelis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w:t>
      </w:r>
      <w:proofErr w:type="spellEnd"/>
      <w:r>
        <w:rPr>
          <w:rFonts w:ascii="Times New Roman" w:eastAsia="Times New Roman" w:hAnsi="Times New Roman" w:cs="Times New Roman"/>
          <w:sz w:val="20"/>
          <w:szCs w:val="20"/>
        </w:rPr>
        <w:t xml:space="preserve"> las Islas Shetland del Sur, Antártida (Breeding biology and trophic ecology of two sympatric species of the genus </w:t>
      </w:r>
      <w:proofErr w:type="spellStart"/>
      <w:r>
        <w:rPr>
          <w:rFonts w:ascii="Times New Roman" w:eastAsia="Times New Roman" w:hAnsi="Times New Roman" w:cs="Times New Roman"/>
          <w:sz w:val="20"/>
          <w:szCs w:val="20"/>
        </w:rPr>
        <w:t>Pygoscelis</w:t>
      </w:r>
      <w:proofErr w:type="spellEnd"/>
      <w:r>
        <w:rPr>
          <w:rFonts w:ascii="Times New Roman" w:eastAsia="Times New Roman" w:hAnsi="Times New Roman" w:cs="Times New Roman"/>
          <w:sz w:val="20"/>
          <w:szCs w:val="20"/>
        </w:rPr>
        <w:t xml:space="preserve"> at the South Shetland Islands, Antarctica). PhD Thesis, National University of La Plata.</w:t>
      </w:r>
    </w:p>
    <w:p w14:paraId="000000D4" w14:textId="77777777" w:rsidR="00D67D77" w:rsidRDefault="00D67D77">
      <w:pPr>
        <w:spacing w:line="360" w:lineRule="auto"/>
        <w:jc w:val="both"/>
        <w:rPr>
          <w:rFonts w:ascii="Times New Roman" w:eastAsia="Times New Roman" w:hAnsi="Times New Roman" w:cs="Times New Roman"/>
          <w:sz w:val="20"/>
          <w:szCs w:val="20"/>
        </w:rPr>
      </w:pPr>
    </w:p>
    <w:p w14:paraId="000000D5" w14:textId="77777777" w:rsidR="00D67D77" w:rsidRDefault="00000000">
      <w:pPr>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Juáres</w:t>
      </w:r>
      <w:proofErr w:type="spellEnd"/>
      <w:r>
        <w:rPr>
          <w:rFonts w:ascii="Times New Roman" w:eastAsia="Times New Roman" w:hAnsi="Times New Roman" w:cs="Times New Roman"/>
          <w:sz w:val="20"/>
          <w:szCs w:val="20"/>
        </w:rPr>
        <w:t xml:space="preserve"> M, Santos M, Negrete J, </w:t>
      </w:r>
      <w:proofErr w:type="spellStart"/>
      <w:r>
        <w:rPr>
          <w:rFonts w:ascii="Times New Roman" w:eastAsia="Times New Roman" w:hAnsi="Times New Roman" w:cs="Times New Roman"/>
          <w:sz w:val="20"/>
          <w:szCs w:val="20"/>
        </w:rPr>
        <w:t>Mennucci</w:t>
      </w:r>
      <w:proofErr w:type="spellEnd"/>
      <w:r>
        <w:rPr>
          <w:rFonts w:ascii="Times New Roman" w:eastAsia="Times New Roman" w:hAnsi="Times New Roman" w:cs="Times New Roman"/>
          <w:sz w:val="20"/>
          <w:szCs w:val="20"/>
        </w:rPr>
        <w:t xml:space="preserve"> J, </w:t>
      </w:r>
      <w:proofErr w:type="spellStart"/>
      <w:r>
        <w:rPr>
          <w:rFonts w:ascii="Times New Roman" w:eastAsia="Times New Roman" w:hAnsi="Times New Roman" w:cs="Times New Roman"/>
          <w:sz w:val="20"/>
          <w:szCs w:val="20"/>
        </w:rPr>
        <w:t>Perchivale</w:t>
      </w:r>
      <w:proofErr w:type="spellEnd"/>
      <w:r>
        <w:rPr>
          <w:rFonts w:ascii="Times New Roman" w:eastAsia="Times New Roman" w:hAnsi="Times New Roman" w:cs="Times New Roman"/>
          <w:sz w:val="20"/>
          <w:szCs w:val="20"/>
        </w:rPr>
        <w:t xml:space="preserve"> P, </w:t>
      </w:r>
      <w:proofErr w:type="spellStart"/>
      <w:r>
        <w:rPr>
          <w:rFonts w:ascii="Times New Roman" w:eastAsia="Times New Roman" w:hAnsi="Times New Roman" w:cs="Times New Roman"/>
          <w:sz w:val="20"/>
          <w:szCs w:val="20"/>
        </w:rPr>
        <w:t>Casaux</w:t>
      </w:r>
      <w:proofErr w:type="spellEnd"/>
      <w:r>
        <w:rPr>
          <w:rFonts w:ascii="Times New Roman" w:eastAsia="Times New Roman" w:hAnsi="Times New Roman" w:cs="Times New Roman"/>
          <w:sz w:val="20"/>
          <w:szCs w:val="20"/>
        </w:rPr>
        <w:t xml:space="preserve"> R, Coria N (2015) Adélie penguin population changes at Stranger Point: 19 years of monitoring.</w:t>
      </w:r>
      <w:r>
        <w:t xml:space="preserve"> </w:t>
      </w:r>
      <w:proofErr w:type="spellStart"/>
      <w:r>
        <w:rPr>
          <w:rFonts w:ascii="Times New Roman" w:eastAsia="Times New Roman" w:hAnsi="Times New Roman" w:cs="Times New Roman"/>
          <w:sz w:val="20"/>
          <w:szCs w:val="20"/>
        </w:rPr>
        <w:t>Antarct</w:t>
      </w:r>
      <w:proofErr w:type="spellEnd"/>
      <w:r>
        <w:rPr>
          <w:rFonts w:ascii="Times New Roman" w:eastAsia="Times New Roman" w:hAnsi="Times New Roman" w:cs="Times New Roman"/>
          <w:sz w:val="20"/>
          <w:szCs w:val="20"/>
        </w:rPr>
        <w:t xml:space="preserve"> Sci 27(5), 455-461. </w:t>
      </w:r>
      <w:hyperlink r:id="rId61">
        <w:r>
          <w:rPr>
            <w:rFonts w:ascii="Times New Roman" w:eastAsia="Times New Roman" w:hAnsi="Times New Roman" w:cs="Times New Roman"/>
            <w:color w:val="0000FF"/>
            <w:sz w:val="20"/>
            <w:szCs w:val="20"/>
            <w:u w:val="single"/>
          </w:rPr>
          <w:t>https://doi.org/10.1017/S0954102015000152</w:t>
        </w:r>
      </w:hyperlink>
    </w:p>
    <w:p w14:paraId="000000D6" w14:textId="77777777" w:rsidR="00D67D77" w:rsidRDefault="00D67D77">
      <w:pPr>
        <w:spacing w:line="360" w:lineRule="auto"/>
        <w:jc w:val="both"/>
        <w:rPr>
          <w:rFonts w:ascii="Times New Roman" w:eastAsia="Times New Roman" w:hAnsi="Times New Roman" w:cs="Times New Roman"/>
          <w:sz w:val="20"/>
          <w:szCs w:val="20"/>
        </w:rPr>
      </w:pPr>
    </w:p>
    <w:p w14:paraId="000000D7" w14:textId="77777777" w:rsidR="00D67D77" w:rsidRDefault="00000000">
      <w:pPr>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Juáres</w:t>
      </w:r>
      <w:proofErr w:type="spellEnd"/>
      <w:r>
        <w:rPr>
          <w:rFonts w:ascii="Times New Roman" w:eastAsia="Times New Roman" w:hAnsi="Times New Roman" w:cs="Times New Roman"/>
          <w:sz w:val="20"/>
          <w:szCs w:val="20"/>
        </w:rPr>
        <w:t xml:space="preserve"> MA, </w:t>
      </w:r>
      <w:proofErr w:type="spellStart"/>
      <w:r>
        <w:rPr>
          <w:rFonts w:ascii="Times New Roman" w:eastAsia="Times New Roman" w:hAnsi="Times New Roman" w:cs="Times New Roman"/>
          <w:sz w:val="20"/>
          <w:szCs w:val="20"/>
        </w:rPr>
        <w:t>Casaux</w:t>
      </w:r>
      <w:proofErr w:type="spellEnd"/>
      <w:r>
        <w:rPr>
          <w:rFonts w:ascii="Times New Roman" w:eastAsia="Times New Roman" w:hAnsi="Times New Roman" w:cs="Times New Roman"/>
          <w:sz w:val="20"/>
          <w:szCs w:val="20"/>
        </w:rPr>
        <w:t xml:space="preserve"> R, Corbalán A, Blanco G, Pereira GA, </w:t>
      </w:r>
      <w:proofErr w:type="spellStart"/>
      <w:r>
        <w:rPr>
          <w:rFonts w:ascii="Times New Roman" w:eastAsia="Times New Roman" w:hAnsi="Times New Roman" w:cs="Times New Roman"/>
          <w:sz w:val="20"/>
          <w:szCs w:val="20"/>
        </w:rPr>
        <w:t>Perchivale</w:t>
      </w:r>
      <w:proofErr w:type="spellEnd"/>
      <w:r>
        <w:rPr>
          <w:rFonts w:ascii="Times New Roman" w:eastAsia="Times New Roman" w:hAnsi="Times New Roman" w:cs="Times New Roman"/>
          <w:sz w:val="20"/>
          <w:szCs w:val="20"/>
        </w:rPr>
        <w:t xml:space="preserve"> PJ, Coria NR, Santos MM (2018) Diet of Adélie penguins (</w:t>
      </w:r>
      <w:proofErr w:type="spellStart"/>
      <w:r>
        <w:rPr>
          <w:rFonts w:ascii="Times New Roman" w:eastAsia="Times New Roman" w:hAnsi="Times New Roman" w:cs="Times New Roman"/>
          <w:i/>
          <w:sz w:val="20"/>
          <w:szCs w:val="20"/>
        </w:rPr>
        <w:t>Pygoscelis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adeliae</w:t>
      </w:r>
      <w:proofErr w:type="spellEnd"/>
      <w:r>
        <w:rPr>
          <w:rFonts w:ascii="Times New Roman" w:eastAsia="Times New Roman" w:hAnsi="Times New Roman" w:cs="Times New Roman"/>
          <w:i/>
          <w:sz w:val="20"/>
          <w:szCs w:val="20"/>
        </w:rPr>
        <w:t>)</w:t>
      </w:r>
      <w:r>
        <w:rPr>
          <w:rFonts w:ascii="Times New Roman" w:eastAsia="Times New Roman" w:hAnsi="Times New Roman" w:cs="Times New Roman"/>
          <w:sz w:val="20"/>
          <w:szCs w:val="20"/>
        </w:rPr>
        <w:t xml:space="preserve"> at Stranger Point (25 de Mayo/King George Island, Antarctica) over a 13-year period (2003–2015). Polar Biol 41, 303-311. </w:t>
      </w:r>
      <w:hyperlink r:id="rId62">
        <w:r>
          <w:rPr>
            <w:rFonts w:ascii="Times New Roman" w:eastAsia="Times New Roman" w:hAnsi="Times New Roman" w:cs="Times New Roman"/>
            <w:color w:val="0000FF"/>
            <w:sz w:val="20"/>
            <w:szCs w:val="20"/>
            <w:u w:val="single"/>
          </w:rPr>
          <w:t>https://doi.org/10.1007/s00300-017-2191-3</w:t>
        </w:r>
      </w:hyperlink>
    </w:p>
    <w:p w14:paraId="000000D8" w14:textId="77777777" w:rsidR="00D67D77" w:rsidRDefault="00D67D77">
      <w:pPr>
        <w:spacing w:line="360" w:lineRule="auto"/>
        <w:jc w:val="both"/>
        <w:rPr>
          <w:rFonts w:ascii="Times New Roman" w:eastAsia="Times New Roman" w:hAnsi="Times New Roman" w:cs="Times New Roman"/>
          <w:sz w:val="20"/>
          <w:szCs w:val="20"/>
        </w:rPr>
      </w:pPr>
    </w:p>
    <w:p w14:paraId="000000D9" w14:textId="77777777" w:rsidR="00D67D77" w:rsidRDefault="00000000">
      <w:pPr>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Juáres</w:t>
      </w:r>
      <w:proofErr w:type="spellEnd"/>
      <w:r>
        <w:rPr>
          <w:rFonts w:ascii="Times New Roman" w:eastAsia="Times New Roman" w:hAnsi="Times New Roman" w:cs="Times New Roman"/>
          <w:sz w:val="20"/>
          <w:szCs w:val="20"/>
        </w:rPr>
        <w:t xml:space="preserve"> MA, </w:t>
      </w:r>
      <w:proofErr w:type="spellStart"/>
      <w:r>
        <w:rPr>
          <w:rFonts w:ascii="Times New Roman" w:eastAsia="Times New Roman" w:hAnsi="Times New Roman" w:cs="Times New Roman"/>
          <w:sz w:val="20"/>
          <w:szCs w:val="20"/>
        </w:rPr>
        <w:t>Casaux</w:t>
      </w:r>
      <w:proofErr w:type="spellEnd"/>
      <w:r>
        <w:rPr>
          <w:rFonts w:ascii="Times New Roman" w:eastAsia="Times New Roman" w:hAnsi="Times New Roman" w:cs="Times New Roman"/>
          <w:sz w:val="20"/>
          <w:szCs w:val="20"/>
        </w:rPr>
        <w:t xml:space="preserve"> R, Negrete J, Rios A, Castillo M, Coria N. R, Santos MM (2020) Update of the population size and breeding performance of gentoo penguins (</w:t>
      </w:r>
      <w:proofErr w:type="spellStart"/>
      <w:r>
        <w:rPr>
          <w:rFonts w:ascii="Times New Roman" w:eastAsia="Times New Roman" w:hAnsi="Times New Roman" w:cs="Times New Roman"/>
          <w:sz w:val="20"/>
          <w:szCs w:val="20"/>
        </w:rPr>
        <w:t>Pygoscelis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papua</w:t>
      </w:r>
      <w:proofErr w:type="spellEnd"/>
      <w:r>
        <w:rPr>
          <w:rFonts w:ascii="Times New Roman" w:eastAsia="Times New Roman" w:hAnsi="Times New Roman" w:cs="Times New Roman"/>
          <w:sz w:val="20"/>
          <w:szCs w:val="20"/>
        </w:rPr>
        <w:t xml:space="preserve">) at Stranger Point/Cabo Funes, South Shetland Islands. Polar Biol 43, 123–129. </w:t>
      </w:r>
      <w:hyperlink r:id="rId63">
        <w:r>
          <w:rPr>
            <w:rFonts w:ascii="Times New Roman" w:eastAsia="Times New Roman" w:hAnsi="Times New Roman" w:cs="Times New Roman"/>
            <w:color w:val="0000FF"/>
            <w:sz w:val="20"/>
            <w:szCs w:val="20"/>
            <w:u w:val="single"/>
          </w:rPr>
          <w:t>https://doi.org/10.1007/s00300-019-02614-0</w:t>
        </w:r>
      </w:hyperlink>
    </w:p>
    <w:p w14:paraId="000000DA" w14:textId="77777777" w:rsidR="00D67D77" w:rsidRDefault="00D67D77">
      <w:pPr>
        <w:spacing w:line="360" w:lineRule="auto"/>
        <w:jc w:val="both"/>
        <w:rPr>
          <w:rFonts w:ascii="Times New Roman" w:eastAsia="Times New Roman" w:hAnsi="Times New Roman" w:cs="Times New Roman"/>
          <w:sz w:val="20"/>
          <w:szCs w:val="20"/>
        </w:rPr>
      </w:pPr>
    </w:p>
    <w:p w14:paraId="000000DB"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Kato A, Watanuki Y, Naito Y (2003) Annual and seasonal changes in foraging site and diving behavior in Adélie penguins. Polar Biol 26, 389-395. </w:t>
      </w:r>
      <w:hyperlink r:id="rId64">
        <w:r>
          <w:rPr>
            <w:rFonts w:ascii="Times New Roman" w:eastAsia="Times New Roman" w:hAnsi="Times New Roman" w:cs="Times New Roman"/>
            <w:color w:val="0000FF"/>
            <w:sz w:val="20"/>
            <w:szCs w:val="20"/>
            <w:u w:val="single"/>
          </w:rPr>
          <w:t>https://doi.org/10.1007/s00300-003-0493-0</w:t>
        </w:r>
      </w:hyperlink>
    </w:p>
    <w:p w14:paraId="000000DC" w14:textId="77777777" w:rsidR="00D67D77" w:rsidRDefault="00D67D77">
      <w:pPr>
        <w:spacing w:line="360" w:lineRule="auto"/>
        <w:jc w:val="both"/>
        <w:rPr>
          <w:rFonts w:ascii="Times New Roman" w:eastAsia="Times New Roman" w:hAnsi="Times New Roman" w:cs="Times New Roman"/>
          <w:sz w:val="20"/>
          <w:szCs w:val="20"/>
        </w:rPr>
      </w:pPr>
    </w:p>
    <w:p w14:paraId="000000DD"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Kato A, Yoshioka A, Sato K (2009) Foraging behavior of Adélie penguins during incubation period in </w:t>
      </w:r>
      <w:proofErr w:type="spellStart"/>
      <w:r>
        <w:rPr>
          <w:rFonts w:ascii="Times New Roman" w:eastAsia="Times New Roman" w:hAnsi="Times New Roman" w:cs="Times New Roman"/>
          <w:sz w:val="20"/>
          <w:szCs w:val="20"/>
        </w:rPr>
        <w:t>Lützow</w:t>
      </w:r>
      <w:proofErr w:type="spellEnd"/>
      <w:r>
        <w:rPr>
          <w:rFonts w:ascii="Times New Roman" w:eastAsia="Times New Roman" w:hAnsi="Times New Roman" w:cs="Times New Roman"/>
          <w:sz w:val="20"/>
          <w:szCs w:val="20"/>
        </w:rPr>
        <w:t xml:space="preserve">-Holm Bay. Polar Biol 32, 181-186. </w:t>
      </w:r>
      <w:hyperlink r:id="rId65">
        <w:r>
          <w:rPr>
            <w:rFonts w:ascii="Times New Roman" w:eastAsia="Times New Roman" w:hAnsi="Times New Roman" w:cs="Times New Roman"/>
            <w:color w:val="0000FF"/>
            <w:sz w:val="20"/>
            <w:szCs w:val="20"/>
            <w:u w:val="single"/>
          </w:rPr>
          <w:t>https://doi.org/10.1007/s00300-008-0518-9</w:t>
        </w:r>
      </w:hyperlink>
    </w:p>
    <w:p w14:paraId="000000DE" w14:textId="77777777" w:rsidR="00D67D77" w:rsidRDefault="00D67D77">
      <w:pPr>
        <w:spacing w:line="360" w:lineRule="auto"/>
        <w:jc w:val="both"/>
        <w:rPr>
          <w:rFonts w:ascii="Times New Roman" w:eastAsia="Times New Roman" w:hAnsi="Times New Roman" w:cs="Times New Roman"/>
          <w:sz w:val="20"/>
          <w:szCs w:val="20"/>
        </w:rPr>
      </w:pPr>
    </w:p>
    <w:p w14:paraId="000000DF"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Klein ES, Hill SL, Hinke JT, Phillips T, Watters GM (2018) Impacts of rising sea temperature on krill increase risks for predators in the Scotia Sea. </w:t>
      </w:r>
      <w:proofErr w:type="spellStart"/>
      <w:r>
        <w:rPr>
          <w:rFonts w:ascii="Times New Roman" w:eastAsia="Times New Roman" w:hAnsi="Times New Roman" w:cs="Times New Roman"/>
          <w:sz w:val="20"/>
          <w:szCs w:val="20"/>
        </w:rPr>
        <w:t>PLoS</w:t>
      </w:r>
      <w:proofErr w:type="spellEnd"/>
      <w:r>
        <w:rPr>
          <w:rFonts w:ascii="Times New Roman" w:eastAsia="Times New Roman" w:hAnsi="Times New Roman" w:cs="Times New Roman"/>
          <w:sz w:val="20"/>
          <w:szCs w:val="20"/>
        </w:rPr>
        <w:t xml:space="preserve"> ONE 13(1): e0191011. </w:t>
      </w:r>
      <w:hyperlink r:id="rId66">
        <w:r>
          <w:rPr>
            <w:rFonts w:ascii="Times New Roman" w:eastAsia="Times New Roman" w:hAnsi="Times New Roman" w:cs="Times New Roman"/>
            <w:color w:val="0000FF"/>
            <w:sz w:val="20"/>
            <w:szCs w:val="20"/>
            <w:u w:val="single"/>
          </w:rPr>
          <w:t>https://doi.org/10.1371/journal.pone.0191011</w:t>
        </w:r>
      </w:hyperlink>
    </w:p>
    <w:p w14:paraId="000000E0" w14:textId="77777777" w:rsidR="00D67D77" w:rsidRDefault="00D67D77">
      <w:pPr>
        <w:spacing w:line="360" w:lineRule="auto"/>
        <w:jc w:val="both"/>
        <w:rPr>
          <w:rFonts w:ascii="Times New Roman" w:eastAsia="Times New Roman" w:hAnsi="Times New Roman" w:cs="Times New Roman"/>
          <w:sz w:val="20"/>
          <w:szCs w:val="20"/>
        </w:rPr>
      </w:pPr>
    </w:p>
    <w:p w14:paraId="000000E1"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Kokubun N, Takahashi A, Mori Y, Watanabe S, Shin HC (2010) Comparison of diving behavior and foraging habitat use between chinstrap and gentoo penguins breeding in the South Shetland Islands, Antarctica. Mar Biol 157, 811-825. </w:t>
      </w:r>
      <w:hyperlink r:id="rId67">
        <w:r>
          <w:rPr>
            <w:rFonts w:ascii="Times New Roman" w:eastAsia="Times New Roman" w:hAnsi="Times New Roman" w:cs="Times New Roman"/>
            <w:color w:val="0000FF"/>
            <w:sz w:val="20"/>
            <w:szCs w:val="20"/>
            <w:u w:val="single"/>
          </w:rPr>
          <w:t>https://doi.org/10.1007/s00227-009-1364-1</w:t>
        </w:r>
      </w:hyperlink>
    </w:p>
    <w:p w14:paraId="000000E2" w14:textId="77777777" w:rsidR="00D67D77" w:rsidRDefault="00D67D77">
      <w:pPr>
        <w:spacing w:line="360" w:lineRule="auto"/>
        <w:jc w:val="both"/>
        <w:rPr>
          <w:rFonts w:ascii="Times New Roman" w:eastAsia="Times New Roman" w:hAnsi="Times New Roman" w:cs="Times New Roman"/>
          <w:sz w:val="20"/>
          <w:szCs w:val="20"/>
        </w:rPr>
      </w:pPr>
    </w:p>
    <w:p w14:paraId="000000E3"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Kokubun N, Lee WY, Kim JH, Takahashi A (2015) Chinstrap penguin foraging area associated with a seamount in Bransfield Strait, Antarctica. Polar Sci 9(4), 393-400. </w:t>
      </w:r>
      <w:hyperlink r:id="rId68">
        <w:r>
          <w:rPr>
            <w:rFonts w:ascii="Times New Roman" w:eastAsia="Times New Roman" w:hAnsi="Times New Roman" w:cs="Times New Roman"/>
            <w:color w:val="0000FF"/>
            <w:sz w:val="20"/>
            <w:szCs w:val="20"/>
            <w:u w:val="single"/>
          </w:rPr>
          <w:t>https://doi.org/10.1016/j.polar.2015.10.001</w:t>
        </w:r>
      </w:hyperlink>
    </w:p>
    <w:p w14:paraId="000000E4" w14:textId="77777777" w:rsidR="00D67D77" w:rsidRDefault="00D67D77">
      <w:pPr>
        <w:spacing w:line="360" w:lineRule="auto"/>
        <w:jc w:val="both"/>
        <w:rPr>
          <w:rFonts w:ascii="Times New Roman" w:eastAsia="Times New Roman" w:hAnsi="Times New Roman" w:cs="Times New Roman"/>
          <w:sz w:val="20"/>
          <w:szCs w:val="20"/>
        </w:rPr>
      </w:pPr>
    </w:p>
    <w:p w14:paraId="000000E5"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Krüger L, Huerta MF, Santa Cruz F, Cárdenas CA (2021) Antarctic krill fishery effects over penguin populations under adverse climate conditions: Implications for the management of fishing practices. </w:t>
      </w:r>
      <w:proofErr w:type="spellStart"/>
      <w:r>
        <w:rPr>
          <w:rFonts w:ascii="Times New Roman" w:eastAsia="Times New Roman" w:hAnsi="Times New Roman" w:cs="Times New Roman"/>
          <w:sz w:val="20"/>
          <w:szCs w:val="20"/>
        </w:rPr>
        <w:t>Ambio</w:t>
      </w:r>
      <w:proofErr w:type="spellEnd"/>
      <w:r>
        <w:rPr>
          <w:rFonts w:ascii="Times New Roman" w:eastAsia="Times New Roman" w:hAnsi="Times New Roman" w:cs="Times New Roman"/>
          <w:sz w:val="20"/>
          <w:szCs w:val="20"/>
        </w:rPr>
        <w:t xml:space="preserve"> 50, 560-571. </w:t>
      </w:r>
      <w:hyperlink r:id="rId69">
        <w:r>
          <w:rPr>
            <w:rFonts w:ascii="Times New Roman" w:eastAsia="Times New Roman" w:hAnsi="Times New Roman" w:cs="Times New Roman"/>
            <w:color w:val="0000FF"/>
            <w:sz w:val="20"/>
            <w:szCs w:val="20"/>
            <w:u w:val="single"/>
          </w:rPr>
          <w:t>https://doi.org/10.1007/s13280-020-01386-w</w:t>
        </w:r>
      </w:hyperlink>
    </w:p>
    <w:p w14:paraId="000000E6" w14:textId="77777777" w:rsidR="00D67D77" w:rsidRDefault="00D67D77">
      <w:pPr>
        <w:spacing w:line="360" w:lineRule="auto"/>
        <w:jc w:val="both"/>
        <w:rPr>
          <w:rFonts w:ascii="Times New Roman" w:eastAsia="Times New Roman" w:hAnsi="Times New Roman" w:cs="Times New Roman"/>
          <w:sz w:val="20"/>
          <w:szCs w:val="20"/>
        </w:rPr>
      </w:pPr>
    </w:p>
    <w:p w14:paraId="000000E7"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Lee WY, Park S, Kim KW, Kim JH, Gal JK, Chung H (2021) Inter-specific and intra-specific competition of two </w:t>
      </w:r>
      <w:proofErr w:type="spellStart"/>
      <w:r>
        <w:rPr>
          <w:rFonts w:ascii="Times New Roman" w:eastAsia="Times New Roman" w:hAnsi="Times New Roman" w:cs="Times New Roman"/>
          <w:sz w:val="20"/>
          <w:szCs w:val="20"/>
        </w:rPr>
        <w:t>sympatrically</w:t>
      </w:r>
      <w:proofErr w:type="spellEnd"/>
      <w:r>
        <w:rPr>
          <w:rFonts w:ascii="Times New Roman" w:eastAsia="Times New Roman" w:hAnsi="Times New Roman" w:cs="Times New Roman"/>
          <w:sz w:val="20"/>
          <w:szCs w:val="20"/>
        </w:rPr>
        <w:t xml:space="preserve"> breeding seabirds, chinstrap and gentoo penguins, at two neighboring colonies. Animals, 11(2), 482. </w:t>
      </w:r>
      <w:hyperlink r:id="rId70">
        <w:r>
          <w:rPr>
            <w:rFonts w:ascii="Times New Roman" w:eastAsia="Times New Roman" w:hAnsi="Times New Roman" w:cs="Times New Roman"/>
            <w:color w:val="0000FF"/>
            <w:sz w:val="20"/>
            <w:szCs w:val="20"/>
            <w:u w:val="single"/>
          </w:rPr>
          <w:t>https://doi.org/10.3390/ani11020482</w:t>
        </w:r>
      </w:hyperlink>
    </w:p>
    <w:p w14:paraId="000000E8" w14:textId="77777777" w:rsidR="00D67D77" w:rsidRDefault="00D67D77">
      <w:pPr>
        <w:spacing w:line="360" w:lineRule="auto"/>
        <w:jc w:val="both"/>
        <w:rPr>
          <w:rFonts w:ascii="Times New Roman" w:eastAsia="Times New Roman" w:hAnsi="Times New Roman" w:cs="Times New Roman"/>
          <w:sz w:val="20"/>
          <w:szCs w:val="20"/>
        </w:rPr>
      </w:pPr>
    </w:p>
    <w:p w14:paraId="000000E9" w14:textId="77777777" w:rsidR="00D67D77" w:rsidRDefault="00000000">
      <w:pPr>
        <w:spacing w:line="360" w:lineRule="auto"/>
        <w:jc w:val="both"/>
        <w:rPr>
          <w:rFonts w:ascii="Times New Roman" w:eastAsia="Times New Roman" w:hAnsi="Times New Roman" w:cs="Times New Roman"/>
          <w:color w:val="0000FF"/>
          <w:sz w:val="20"/>
          <w:szCs w:val="20"/>
          <w:u w:val="single"/>
        </w:rPr>
      </w:pPr>
      <w:r>
        <w:rPr>
          <w:rFonts w:ascii="Times New Roman" w:eastAsia="Times New Roman" w:hAnsi="Times New Roman" w:cs="Times New Roman"/>
          <w:sz w:val="20"/>
          <w:szCs w:val="20"/>
        </w:rPr>
        <w:t xml:space="preserve">Lescroël A, Ballard G, Toniolo V, Barton KJ, Wilson PR, Lyver PO, Ainley DG (2010) Working less to gain more: when breeding quality relates to foraging efficiency. </w:t>
      </w:r>
      <w:proofErr w:type="spellStart"/>
      <w:r>
        <w:rPr>
          <w:rFonts w:ascii="Times New Roman" w:eastAsia="Times New Roman" w:hAnsi="Times New Roman" w:cs="Times New Roman"/>
          <w:sz w:val="20"/>
          <w:szCs w:val="20"/>
        </w:rPr>
        <w:t>Ecol</w:t>
      </w:r>
      <w:proofErr w:type="spellEnd"/>
      <w:r>
        <w:rPr>
          <w:rFonts w:ascii="Times New Roman" w:eastAsia="Times New Roman" w:hAnsi="Times New Roman" w:cs="Times New Roman"/>
          <w:sz w:val="20"/>
          <w:szCs w:val="20"/>
        </w:rPr>
        <w:t xml:space="preserve"> 91: 2044-2055. </w:t>
      </w:r>
      <w:hyperlink r:id="rId71">
        <w:r>
          <w:rPr>
            <w:rFonts w:ascii="Times New Roman" w:eastAsia="Times New Roman" w:hAnsi="Times New Roman" w:cs="Times New Roman"/>
            <w:color w:val="0000FF"/>
            <w:sz w:val="20"/>
            <w:szCs w:val="20"/>
            <w:u w:val="single"/>
          </w:rPr>
          <w:t>https://doi.org/10.1890/09-0766.1</w:t>
        </w:r>
      </w:hyperlink>
    </w:p>
    <w:p w14:paraId="000000EA" w14:textId="77777777" w:rsidR="00D67D77" w:rsidRDefault="00D67D77">
      <w:pPr>
        <w:spacing w:line="360" w:lineRule="auto"/>
        <w:jc w:val="both"/>
        <w:rPr>
          <w:rFonts w:ascii="Times New Roman" w:eastAsia="Times New Roman" w:hAnsi="Times New Roman" w:cs="Times New Roman"/>
          <w:sz w:val="20"/>
          <w:szCs w:val="20"/>
        </w:rPr>
      </w:pPr>
    </w:p>
    <w:p w14:paraId="000000EB"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Lescroël A, </w:t>
      </w:r>
      <w:proofErr w:type="spellStart"/>
      <w:r>
        <w:rPr>
          <w:rFonts w:ascii="Times New Roman" w:eastAsia="Times New Roman" w:hAnsi="Times New Roman" w:cs="Times New Roman"/>
          <w:sz w:val="20"/>
          <w:szCs w:val="20"/>
        </w:rPr>
        <w:t>Lyver</w:t>
      </w:r>
      <w:proofErr w:type="spellEnd"/>
      <w:r>
        <w:rPr>
          <w:rFonts w:ascii="Times New Roman" w:eastAsia="Times New Roman" w:hAnsi="Times New Roman" w:cs="Times New Roman"/>
          <w:sz w:val="20"/>
          <w:szCs w:val="20"/>
        </w:rPr>
        <w:t xml:space="preserve"> PO’B, </w:t>
      </w:r>
      <w:proofErr w:type="spellStart"/>
      <w:r>
        <w:rPr>
          <w:rFonts w:ascii="Times New Roman" w:eastAsia="Times New Roman" w:hAnsi="Times New Roman" w:cs="Times New Roman"/>
          <w:sz w:val="20"/>
          <w:szCs w:val="20"/>
        </w:rPr>
        <w:t>Jongsomjit</w:t>
      </w:r>
      <w:proofErr w:type="spellEnd"/>
      <w:r>
        <w:rPr>
          <w:rFonts w:ascii="Times New Roman" w:eastAsia="Times New Roman" w:hAnsi="Times New Roman" w:cs="Times New Roman"/>
          <w:sz w:val="20"/>
          <w:szCs w:val="20"/>
        </w:rPr>
        <w:t xml:space="preserve"> D, </w:t>
      </w:r>
      <w:proofErr w:type="spellStart"/>
      <w:r>
        <w:rPr>
          <w:rFonts w:ascii="Times New Roman" w:eastAsia="Times New Roman" w:hAnsi="Times New Roman" w:cs="Times New Roman"/>
          <w:sz w:val="20"/>
          <w:szCs w:val="20"/>
        </w:rPr>
        <w:t>Veloz</w:t>
      </w:r>
      <w:proofErr w:type="spellEnd"/>
      <w:r>
        <w:rPr>
          <w:rFonts w:ascii="Times New Roman" w:eastAsia="Times New Roman" w:hAnsi="Times New Roman" w:cs="Times New Roman"/>
          <w:sz w:val="20"/>
          <w:szCs w:val="20"/>
        </w:rPr>
        <w:t xml:space="preserve"> S et al (2020) Inter-individual differences in the foraging behavior of breeding Adélie penguins are driven by individual quality and sex. Mar </w:t>
      </w:r>
      <w:proofErr w:type="spellStart"/>
      <w:r>
        <w:rPr>
          <w:rFonts w:ascii="Times New Roman" w:eastAsia="Times New Roman" w:hAnsi="Times New Roman" w:cs="Times New Roman"/>
          <w:sz w:val="20"/>
          <w:szCs w:val="20"/>
        </w:rPr>
        <w:t>Ecol</w:t>
      </w:r>
      <w:proofErr w:type="spellEnd"/>
      <w:r>
        <w:rPr>
          <w:rFonts w:ascii="Times New Roman" w:eastAsia="Times New Roman" w:hAnsi="Times New Roman" w:cs="Times New Roman"/>
          <w:sz w:val="20"/>
          <w:szCs w:val="20"/>
        </w:rPr>
        <w:t xml:space="preserve"> Prog Ser 636:189-205. </w:t>
      </w:r>
      <w:hyperlink r:id="rId72">
        <w:r>
          <w:rPr>
            <w:rFonts w:ascii="Times New Roman" w:eastAsia="Times New Roman" w:hAnsi="Times New Roman" w:cs="Times New Roman"/>
            <w:color w:val="0000FF"/>
            <w:sz w:val="20"/>
            <w:szCs w:val="20"/>
            <w:u w:val="single"/>
          </w:rPr>
          <w:t>https://doi.org/10.3354/meps13208</w:t>
        </w:r>
      </w:hyperlink>
    </w:p>
    <w:p w14:paraId="000000EC" w14:textId="77777777" w:rsidR="00D67D77" w:rsidRDefault="00D67D77">
      <w:pPr>
        <w:spacing w:line="360" w:lineRule="auto"/>
        <w:jc w:val="both"/>
        <w:rPr>
          <w:rFonts w:ascii="Times New Roman" w:eastAsia="Times New Roman" w:hAnsi="Times New Roman" w:cs="Times New Roman"/>
          <w:sz w:val="20"/>
          <w:szCs w:val="20"/>
        </w:rPr>
      </w:pPr>
    </w:p>
    <w:p w14:paraId="000000ED"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Lescroël A, Schmidt A, Elrod M, Ainley DG, Ballard G (2021) Foraging dive frequency predicts body mass gain in the Adélie penguin. Sci Rep 11(1), 22883. </w:t>
      </w:r>
      <w:hyperlink r:id="rId73">
        <w:r>
          <w:rPr>
            <w:rFonts w:ascii="Times New Roman" w:eastAsia="Times New Roman" w:hAnsi="Times New Roman" w:cs="Times New Roman"/>
            <w:color w:val="0000FF"/>
            <w:sz w:val="20"/>
            <w:szCs w:val="20"/>
            <w:u w:val="single"/>
          </w:rPr>
          <w:t>https://doi.org/10.1038/s41598-021-02451-4</w:t>
        </w:r>
      </w:hyperlink>
    </w:p>
    <w:p w14:paraId="000000EE" w14:textId="77777777" w:rsidR="00D67D77" w:rsidRDefault="00D67D77">
      <w:pPr>
        <w:spacing w:line="360" w:lineRule="auto"/>
        <w:jc w:val="both"/>
        <w:rPr>
          <w:rFonts w:ascii="Times New Roman" w:eastAsia="Times New Roman" w:hAnsi="Times New Roman" w:cs="Times New Roman"/>
          <w:sz w:val="20"/>
          <w:szCs w:val="20"/>
        </w:rPr>
      </w:pPr>
    </w:p>
    <w:p w14:paraId="000000EF"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Lescroël A, Schmidt A, Ainley DG, Dugger KM, Elrod M, </w:t>
      </w:r>
      <w:proofErr w:type="spellStart"/>
      <w:r>
        <w:rPr>
          <w:rFonts w:ascii="Times New Roman" w:eastAsia="Times New Roman" w:hAnsi="Times New Roman" w:cs="Times New Roman"/>
          <w:sz w:val="20"/>
          <w:szCs w:val="20"/>
        </w:rPr>
        <w:t>Jongsomjit</w:t>
      </w:r>
      <w:proofErr w:type="spellEnd"/>
      <w:r>
        <w:rPr>
          <w:rFonts w:ascii="Times New Roman" w:eastAsia="Times New Roman" w:hAnsi="Times New Roman" w:cs="Times New Roman"/>
          <w:sz w:val="20"/>
          <w:szCs w:val="20"/>
        </w:rPr>
        <w:t xml:space="preserve"> D, Morandini V, Winquist S, Ballard G (2023) High-resolution recording of foraging </w:t>
      </w:r>
      <w:proofErr w:type="spellStart"/>
      <w:r>
        <w:rPr>
          <w:rFonts w:ascii="Times New Roman" w:eastAsia="Times New Roman" w:hAnsi="Times New Roman" w:cs="Times New Roman"/>
          <w:sz w:val="20"/>
          <w:szCs w:val="20"/>
        </w:rPr>
        <w:t>behaviour</w:t>
      </w:r>
      <w:proofErr w:type="spellEnd"/>
      <w:r>
        <w:rPr>
          <w:rFonts w:ascii="Times New Roman" w:eastAsia="Times New Roman" w:hAnsi="Times New Roman" w:cs="Times New Roman"/>
          <w:sz w:val="20"/>
          <w:szCs w:val="20"/>
        </w:rPr>
        <w:t xml:space="preserve"> over multiple annual cycles shows decline in old Adélie penguins’ performance. Proc R Soc B 290,</w:t>
      </w:r>
      <w:r>
        <w:t xml:space="preserve"> </w:t>
      </w:r>
      <w:r>
        <w:rPr>
          <w:rFonts w:ascii="Times New Roman" w:eastAsia="Times New Roman" w:hAnsi="Times New Roman" w:cs="Times New Roman"/>
          <w:sz w:val="20"/>
          <w:szCs w:val="20"/>
        </w:rPr>
        <w:t xml:space="preserve">20222480 </w:t>
      </w:r>
      <w:hyperlink r:id="rId74">
        <w:r>
          <w:rPr>
            <w:rFonts w:ascii="Times New Roman" w:eastAsia="Times New Roman" w:hAnsi="Times New Roman" w:cs="Times New Roman"/>
            <w:color w:val="0000FF"/>
            <w:sz w:val="20"/>
            <w:szCs w:val="20"/>
            <w:u w:val="single"/>
          </w:rPr>
          <w:t>http://doi.org/10.1098/rspb.2022.2480</w:t>
        </w:r>
      </w:hyperlink>
    </w:p>
    <w:p w14:paraId="000000F0" w14:textId="77777777" w:rsidR="00D67D77" w:rsidRDefault="00D67D77">
      <w:pPr>
        <w:spacing w:line="360" w:lineRule="auto"/>
        <w:jc w:val="both"/>
        <w:rPr>
          <w:rFonts w:ascii="Times New Roman" w:eastAsia="Times New Roman" w:hAnsi="Times New Roman" w:cs="Times New Roman"/>
          <w:sz w:val="20"/>
          <w:szCs w:val="20"/>
        </w:rPr>
      </w:pPr>
    </w:p>
    <w:p w14:paraId="000000F1"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Lynch HJ, LaRue MA (2014) First global census of the Adélie Penguin. The Auk 131(4), 457-466. </w:t>
      </w:r>
      <w:hyperlink r:id="rId75">
        <w:r>
          <w:rPr>
            <w:rFonts w:ascii="Times New Roman" w:eastAsia="Times New Roman" w:hAnsi="Times New Roman" w:cs="Times New Roman"/>
            <w:color w:val="0000FF"/>
            <w:sz w:val="20"/>
            <w:szCs w:val="20"/>
            <w:u w:val="single"/>
          </w:rPr>
          <w:t>https://doi.org/10.1642/AUK-14-31.1</w:t>
        </w:r>
      </w:hyperlink>
    </w:p>
    <w:p w14:paraId="000000F2" w14:textId="77777777" w:rsidR="00D67D77" w:rsidRDefault="00D67D77">
      <w:pPr>
        <w:spacing w:line="360" w:lineRule="auto"/>
        <w:jc w:val="both"/>
        <w:rPr>
          <w:rFonts w:ascii="Times New Roman" w:eastAsia="Times New Roman" w:hAnsi="Times New Roman" w:cs="Times New Roman"/>
          <w:sz w:val="20"/>
          <w:szCs w:val="20"/>
        </w:rPr>
      </w:pPr>
    </w:p>
    <w:p w14:paraId="000000F3" w14:textId="77777777" w:rsidR="00D67D77" w:rsidRDefault="00000000">
      <w:pPr>
        <w:spacing w:line="360" w:lineRule="auto"/>
        <w:jc w:val="both"/>
        <w:rPr>
          <w:rFonts w:ascii="Times New Roman" w:eastAsia="Times New Roman" w:hAnsi="Times New Roman" w:cs="Times New Roman"/>
          <w:color w:val="0000FF"/>
          <w:sz w:val="20"/>
          <w:szCs w:val="20"/>
          <w:u w:val="single"/>
        </w:rPr>
      </w:pPr>
      <w:r>
        <w:rPr>
          <w:rFonts w:ascii="Times New Roman" w:eastAsia="Times New Roman" w:hAnsi="Times New Roman" w:cs="Times New Roman"/>
          <w:sz w:val="20"/>
          <w:szCs w:val="20"/>
        </w:rPr>
        <w:t xml:space="preserve">Lynch HJ, Naveen R, Trathan PN, Fagan WF (2012) Spatially integrated assessment reveals widespread changes in penguin populations on the Antarctic Peninsula. </w:t>
      </w:r>
      <w:proofErr w:type="spellStart"/>
      <w:r>
        <w:rPr>
          <w:rFonts w:ascii="Times New Roman" w:eastAsia="Times New Roman" w:hAnsi="Times New Roman" w:cs="Times New Roman"/>
          <w:sz w:val="20"/>
          <w:szCs w:val="20"/>
        </w:rPr>
        <w:t>Ecol</w:t>
      </w:r>
      <w:proofErr w:type="spellEnd"/>
      <w:r>
        <w:rPr>
          <w:rFonts w:ascii="Times New Roman" w:eastAsia="Times New Roman" w:hAnsi="Times New Roman" w:cs="Times New Roman"/>
          <w:sz w:val="20"/>
          <w:szCs w:val="20"/>
        </w:rPr>
        <w:t xml:space="preserve"> 93(6), 1367-1377. </w:t>
      </w:r>
      <w:hyperlink r:id="rId76">
        <w:r>
          <w:rPr>
            <w:rFonts w:ascii="Times New Roman" w:eastAsia="Times New Roman" w:hAnsi="Times New Roman" w:cs="Times New Roman"/>
            <w:color w:val="0000FF"/>
            <w:sz w:val="20"/>
            <w:szCs w:val="20"/>
            <w:u w:val="single"/>
          </w:rPr>
          <w:t>https://doi.org/10.1890/11-1588.1</w:t>
        </w:r>
      </w:hyperlink>
    </w:p>
    <w:p w14:paraId="000000F4" w14:textId="77777777" w:rsidR="00D67D77" w:rsidRDefault="00D67D77">
      <w:pPr>
        <w:spacing w:line="360" w:lineRule="auto"/>
        <w:jc w:val="both"/>
        <w:rPr>
          <w:rFonts w:ascii="Times New Roman" w:eastAsia="Times New Roman" w:hAnsi="Times New Roman" w:cs="Times New Roman"/>
          <w:sz w:val="20"/>
          <w:szCs w:val="20"/>
        </w:rPr>
      </w:pPr>
    </w:p>
    <w:p w14:paraId="000000F5"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Michel LN, Danis B, Dubois P et al (2019) Increased sea ice cover alters food web structure in East Antarctica. Sci Rep 9, 8062. </w:t>
      </w:r>
      <w:hyperlink r:id="rId77">
        <w:r>
          <w:rPr>
            <w:rFonts w:ascii="Times New Roman" w:eastAsia="Times New Roman" w:hAnsi="Times New Roman" w:cs="Times New Roman"/>
            <w:color w:val="0000FF"/>
            <w:sz w:val="20"/>
            <w:szCs w:val="20"/>
            <w:u w:val="single"/>
          </w:rPr>
          <w:t>https://doi.org/10.1038/s41598-019-44605-5</w:t>
        </w:r>
      </w:hyperlink>
    </w:p>
    <w:p w14:paraId="000000F6" w14:textId="77777777" w:rsidR="00D67D77" w:rsidRDefault="00D67D77">
      <w:pPr>
        <w:spacing w:line="360" w:lineRule="auto"/>
        <w:jc w:val="both"/>
        <w:rPr>
          <w:rFonts w:ascii="Times New Roman" w:eastAsia="Times New Roman" w:hAnsi="Times New Roman" w:cs="Times New Roman"/>
          <w:sz w:val="20"/>
          <w:szCs w:val="20"/>
        </w:rPr>
      </w:pPr>
    </w:p>
    <w:p w14:paraId="000000F7"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Michelot C, Kato A, </w:t>
      </w:r>
      <w:proofErr w:type="spellStart"/>
      <w:r>
        <w:rPr>
          <w:rFonts w:ascii="Times New Roman" w:eastAsia="Times New Roman" w:hAnsi="Times New Roman" w:cs="Times New Roman"/>
          <w:sz w:val="20"/>
          <w:szCs w:val="20"/>
        </w:rPr>
        <w:t>Raclot</w:t>
      </w:r>
      <w:proofErr w:type="spellEnd"/>
      <w:r>
        <w:rPr>
          <w:rFonts w:ascii="Times New Roman" w:eastAsia="Times New Roman" w:hAnsi="Times New Roman" w:cs="Times New Roman"/>
          <w:sz w:val="20"/>
          <w:szCs w:val="20"/>
        </w:rPr>
        <w:t xml:space="preserve"> T, </w:t>
      </w:r>
      <w:proofErr w:type="spellStart"/>
      <w:r>
        <w:rPr>
          <w:rFonts w:ascii="Times New Roman" w:eastAsia="Times New Roman" w:hAnsi="Times New Roman" w:cs="Times New Roman"/>
          <w:sz w:val="20"/>
          <w:szCs w:val="20"/>
        </w:rPr>
        <w:t>Ropert-Coudert</w:t>
      </w:r>
      <w:proofErr w:type="spellEnd"/>
      <w:r>
        <w:rPr>
          <w:rFonts w:ascii="Times New Roman" w:eastAsia="Times New Roman" w:hAnsi="Times New Roman" w:cs="Times New Roman"/>
          <w:sz w:val="20"/>
          <w:szCs w:val="20"/>
        </w:rPr>
        <w:t xml:space="preserve"> Y (2021) Adélie penguins foraging consistency and site fidelity are conditioned by breeding status and environmental conditions. </w:t>
      </w:r>
      <w:proofErr w:type="spellStart"/>
      <w:r>
        <w:rPr>
          <w:rFonts w:ascii="Times New Roman" w:eastAsia="Times New Roman" w:hAnsi="Times New Roman" w:cs="Times New Roman"/>
          <w:sz w:val="20"/>
          <w:szCs w:val="20"/>
        </w:rPr>
        <w:t>PLoS</w:t>
      </w:r>
      <w:proofErr w:type="spellEnd"/>
      <w:r>
        <w:rPr>
          <w:rFonts w:ascii="Times New Roman" w:eastAsia="Times New Roman" w:hAnsi="Times New Roman" w:cs="Times New Roman"/>
          <w:sz w:val="20"/>
          <w:szCs w:val="20"/>
        </w:rPr>
        <w:t xml:space="preserve"> ONE 16(1): e0244298. </w:t>
      </w:r>
      <w:hyperlink r:id="rId78">
        <w:r>
          <w:rPr>
            <w:rFonts w:ascii="Times New Roman" w:eastAsia="Times New Roman" w:hAnsi="Times New Roman" w:cs="Times New Roman"/>
            <w:color w:val="0000FF"/>
            <w:sz w:val="20"/>
            <w:szCs w:val="20"/>
            <w:u w:val="single"/>
          </w:rPr>
          <w:t>https://doi.org/10.1371/journal.pone.0244298</w:t>
        </w:r>
      </w:hyperlink>
    </w:p>
    <w:p w14:paraId="000000F8" w14:textId="77777777" w:rsidR="00D67D77" w:rsidRDefault="00D67D77">
      <w:pPr>
        <w:spacing w:line="360" w:lineRule="auto"/>
        <w:jc w:val="both"/>
        <w:rPr>
          <w:rFonts w:ascii="Times New Roman" w:eastAsia="Times New Roman" w:hAnsi="Times New Roman" w:cs="Times New Roman"/>
          <w:sz w:val="20"/>
          <w:szCs w:val="20"/>
        </w:rPr>
      </w:pPr>
    </w:p>
    <w:p w14:paraId="000000F9" w14:textId="77777777" w:rsidR="00D67D77" w:rsidRDefault="00000000">
      <w:pPr>
        <w:spacing w:line="360" w:lineRule="auto"/>
        <w:jc w:val="both"/>
        <w:rPr>
          <w:rFonts w:ascii="Times New Roman" w:eastAsia="Times New Roman" w:hAnsi="Times New Roman" w:cs="Times New Roman"/>
          <w:color w:val="0000FF"/>
          <w:sz w:val="20"/>
          <w:szCs w:val="20"/>
          <w:u w:val="single"/>
        </w:rPr>
      </w:pPr>
      <w:r>
        <w:rPr>
          <w:rFonts w:ascii="Times New Roman" w:eastAsia="Times New Roman" w:hAnsi="Times New Roman" w:cs="Times New Roman"/>
          <w:sz w:val="20"/>
          <w:szCs w:val="20"/>
        </w:rPr>
        <w:t xml:space="preserve">Miller AK and Trivelpiece WZ (2008) Chinstrap penguins alter foraging and diving behavior in response to the size of their principle prey, Antarctic krill. Mar Biol 154, 201–208. </w:t>
      </w:r>
      <w:hyperlink r:id="rId79">
        <w:r>
          <w:rPr>
            <w:rFonts w:ascii="Times New Roman" w:eastAsia="Times New Roman" w:hAnsi="Times New Roman" w:cs="Times New Roman"/>
            <w:color w:val="0000FF"/>
            <w:sz w:val="20"/>
            <w:szCs w:val="20"/>
            <w:u w:val="single"/>
          </w:rPr>
          <w:t>https://doi.org/10.1007/s00227-008-0909-z</w:t>
        </w:r>
      </w:hyperlink>
    </w:p>
    <w:p w14:paraId="000000FA" w14:textId="77777777" w:rsidR="00D67D77" w:rsidRDefault="00D67D77">
      <w:pPr>
        <w:spacing w:line="360" w:lineRule="auto"/>
        <w:jc w:val="both"/>
        <w:rPr>
          <w:rFonts w:ascii="Times New Roman" w:eastAsia="Times New Roman" w:hAnsi="Times New Roman" w:cs="Times New Roman"/>
          <w:color w:val="0000FF"/>
          <w:sz w:val="20"/>
          <w:szCs w:val="20"/>
          <w:u w:val="single"/>
        </w:rPr>
      </w:pPr>
    </w:p>
    <w:p w14:paraId="000000FB"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Nardelli SC, Cimino MA, Conroy JA, Fraser WR, Steinberg DK and Schofield O (2021) Krill availability in adjacent Adélie and gentoo penguin foraging regions near Palmer Station, Antarctica. </w:t>
      </w:r>
      <w:proofErr w:type="spellStart"/>
      <w:r>
        <w:rPr>
          <w:rFonts w:ascii="Times New Roman" w:eastAsia="Times New Roman" w:hAnsi="Times New Roman" w:cs="Times New Roman"/>
          <w:sz w:val="20"/>
          <w:szCs w:val="20"/>
        </w:rPr>
        <w:t>Limnol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Oceanogr</w:t>
      </w:r>
      <w:proofErr w:type="spellEnd"/>
      <w:r>
        <w:rPr>
          <w:rFonts w:ascii="Times New Roman" w:eastAsia="Times New Roman" w:hAnsi="Times New Roman" w:cs="Times New Roman"/>
          <w:sz w:val="20"/>
          <w:szCs w:val="20"/>
        </w:rPr>
        <w:t xml:space="preserve"> 66: 2234-2250. </w:t>
      </w:r>
      <w:hyperlink r:id="rId80">
        <w:r>
          <w:rPr>
            <w:rFonts w:ascii="Times New Roman" w:eastAsia="Times New Roman" w:hAnsi="Times New Roman" w:cs="Times New Roman"/>
            <w:color w:val="0000FF"/>
            <w:sz w:val="20"/>
            <w:szCs w:val="20"/>
            <w:u w:val="single"/>
          </w:rPr>
          <w:t>https://doi.org/10.1002/lno.11750</w:t>
        </w:r>
      </w:hyperlink>
    </w:p>
    <w:p w14:paraId="000000FC" w14:textId="77777777" w:rsidR="00D67D77" w:rsidRDefault="00D67D77">
      <w:pPr>
        <w:spacing w:line="360" w:lineRule="auto"/>
        <w:jc w:val="both"/>
        <w:rPr>
          <w:rFonts w:ascii="Times New Roman" w:eastAsia="Times New Roman" w:hAnsi="Times New Roman" w:cs="Times New Roman"/>
          <w:sz w:val="20"/>
          <w:szCs w:val="20"/>
        </w:rPr>
      </w:pPr>
    </w:p>
    <w:p w14:paraId="000000FD"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Negrete P, </w:t>
      </w:r>
      <w:proofErr w:type="spellStart"/>
      <w:r>
        <w:rPr>
          <w:rFonts w:ascii="Times New Roman" w:eastAsia="Times New Roman" w:hAnsi="Times New Roman" w:cs="Times New Roman"/>
          <w:sz w:val="20"/>
          <w:szCs w:val="20"/>
        </w:rPr>
        <w:t>Sallaberry</w:t>
      </w:r>
      <w:proofErr w:type="spellEnd"/>
      <w:r>
        <w:rPr>
          <w:rFonts w:ascii="Times New Roman" w:eastAsia="Times New Roman" w:hAnsi="Times New Roman" w:cs="Times New Roman"/>
          <w:sz w:val="20"/>
          <w:szCs w:val="20"/>
        </w:rPr>
        <w:t xml:space="preserve"> M, Barceló G et al (2017) Temporal variation in isotopic composition of </w:t>
      </w:r>
      <w:proofErr w:type="spellStart"/>
      <w:r>
        <w:rPr>
          <w:rFonts w:ascii="Times New Roman" w:eastAsia="Times New Roman" w:hAnsi="Times New Roman" w:cs="Times New Roman"/>
          <w:sz w:val="20"/>
          <w:szCs w:val="20"/>
        </w:rPr>
        <w:t>Pygoscelis</w:t>
      </w:r>
      <w:proofErr w:type="spellEnd"/>
      <w:r>
        <w:rPr>
          <w:rFonts w:ascii="Times New Roman" w:eastAsia="Times New Roman" w:hAnsi="Times New Roman" w:cs="Times New Roman"/>
          <w:sz w:val="20"/>
          <w:szCs w:val="20"/>
        </w:rPr>
        <w:t xml:space="preserve"> penguins at Ardley Island, Antarctic: Are foraging habits impacted by environmental change?. Polar Biol 40, 903–916. </w:t>
      </w:r>
      <w:hyperlink r:id="rId81">
        <w:r>
          <w:rPr>
            <w:rFonts w:ascii="Times New Roman" w:eastAsia="Times New Roman" w:hAnsi="Times New Roman" w:cs="Times New Roman"/>
            <w:color w:val="0000FF"/>
            <w:sz w:val="20"/>
            <w:szCs w:val="20"/>
            <w:u w:val="single"/>
          </w:rPr>
          <w:t>https://doi.org/10.1007/s00300-016-2017-8</w:t>
        </w:r>
      </w:hyperlink>
    </w:p>
    <w:p w14:paraId="000000FE" w14:textId="77777777" w:rsidR="00D67D77" w:rsidRDefault="00D67D77">
      <w:pPr>
        <w:spacing w:line="360" w:lineRule="auto"/>
        <w:jc w:val="both"/>
        <w:rPr>
          <w:rFonts w:ascii="Times New Roman" w:eastAsia="Times New Roman" w:hAnsi="Times New Roman" w:cs="Times New Roman"/>
          <w:sz w:val="20"/>
          <w:szCs w:val="20"/>
        </w:rPr>
      </w:pPr>
    </w:p>
    <w:p w14:paraId="000000FF"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Oliver MJ, Irwin A, Moline MA, Fraser W, Patterson D, Schofield O et al (2013) Adélie Penguin Foraging Location Predicted by Tidal Regime Switching. </w:t>
      </w:r>
      <w:proofErr w:type="spellStart"/>
      <w:r>
        <w:rPr>
          <w:rFonts w:ascii="Times New Roman" w:eastAsia="Times New Roman" w:hAnsi="Times New Roman" w:cs="Times New Roman"/>
          <w:sz w:val="20"/>
          <w:szCs w:val="20"/>
        </w:rPr>
        <w:t>PLoS</w:t>
      </w:r>
      <w:proofErr w:type="spellEnd"/>
      <w:r>
        <w:rPr>
          <w:rFonts w:ascii="Times New Roman" w:eastAsia="Times New Roman" w:hAnsi="Times New Roman" w:cs="Times New Roman"/>
          <w:sz w:val="20"/>
          <w:szCs w:val="20"/>
        </w:rPr>
        <w:t xml:space="preserve"> ONE 8(1): e55163. </w:t>
      </w:r>
      <w:hyperlink r:id="rId82">
        <w:r>
          <w:rPr>
            <w:rFonts w:ascii="Times New Roman" w:eastAsia="Times New Roman" w:hAnsi="Times New Roman" w:cs="Times New Roman"/>
            <w:color w:val="0000FF"/>
            <w:sz w:val="20"/>
            <w:szCs w:val="20"/>
            <w:u w:val="single"/>
          </w:rPr>
          <w:t>https://doi.org/10.1371/journal.pone.0055163</w:t>
        </w:r>
      </w:hyperlink>
    </w:p>
    <w:p w14:paraId="00000100" w14:textId="77777777" w:rsidR="00D67D77" w:rsidRDefault="00D67D77">
      <w:pPr>
        <w:spacing w:line="360" w:lineRule="auto"/>
        <w:jc w:val="both"/>
        <w:rPr>
          <w:rFonts w:ascii="Times New Roman" w:eastAsia="Times New Roman" w:hAnsi="Times New Roman" w:cs="Times New Roman"/>
          <w:sz w:val="20"/>
          <w:szCs w:val="20"/>
        </w:rPr>
      </w:pPr>
    </w:p>
    <w:p w14:paraId="00000101"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Oliver MJ, Kohut JT, Bernard K et al (2019) Central place foragers select ocean surface convergent features despite differing foraging strategies. Sci Rep 9, 157 </w:t>
      </w:r>
      <w:hyperlink r:id="rId83">
        <w:r>
          <w:rPr>
            <w:rFonts w:ascii="Times New Roman" w:eastAsia="Times New Roman" w:hAnsi="Times New Roman" w:cs="Times New Roman"/>
            <w:color w:val="0000FF"/>
            <w:sz w:val="20"/>
            <w:szCs w:val="20"/>
            <w:u w:val="single"/>
          </w:rPr>
          <w:t>https://doi.org/10.1038/s41598-018-35901-7</w:t>
        </w:r>
      </w:hyperlink>
    </w:p>
    <w:p w14:paraId="00000102" w14:textId="77777777" w:rsidR="00D67D77" w:rsidRDefault="00D67D77">
      <w:pPr>
        <w:spacing w:line="360" w:lineRule="auto"/>
        <w:jc w:val="both"/>
        <w:rPr>
          <w:rFonts w:ascii="Times New Roman" w:eastAsia="Times New Roman" w:hAnsi="Times New Roman" w:cs="Times New Roman"/>
          <w:sz w:val="20"/>
          <w:szCs w:val="20"/>
        </w:rPr>
      </w:pPr>
    </w:p>
    <w:p w14:paraId="00000103"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Oosthuizen WC, Pistorius PA, Korczak‐Abshire M, Hinke JT, Santos M, Lowther AD (2022) The foraging behavior of nonbreeding Adélie penguins in the western Antarctic Peninsula during the breeding season. Ecosphere 13(5), e4090.</w:t>
      </w:r>
      <w:r>
        <w:t xml:space="preserve"> </w:t>
      </w:r>
      <w:hyperlink r:id="rId84">
        <w:r>
          <w:rPr>
            <w:rFonts w:ascii="Times New Roman" w:eastAsia="Times New Roman" w:hAnsi="Times New Roman" w:cs="Times New Roman"/>
            <w:color w:val="0000FF"/>
            <w:sz w:val="20"/>
            <w:szCs w:val="20"/>
            <w:u w:val="single"/>
          </w:rPr>
          <w:t>https://doi.org/10.1002/ecs2.4090</w:t>
        </w:r>
      </w:hyperlink>
    </w:p>
    <w:p w14:paraId="00000104" w14:textId="77777777" w:rsidR="00D67D77" w:rsidRDefault="00D67D77">
      <w:pPr>
        <w:spacing w:line="360" w:lineRule="auto"/>
        <w:jc w:val="both"/>
        <w:rPr>
          <w:rFonts w:ascii="Times New Roman" w:eastAsia="Times New Roman" w:hAnsi="Times New Roman" w:cs="Times New Roman"/>
          <w:sz w:val="20"/>
          <w:szCs w:val="20"/>
        </w:rPr>
      </w:pPr>
    </w:p>
    <w:p w14:paraId="00000105"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Patterson A, Gilchrist HG, Benjaminsen S, Bolton M, Bonnet-Lebrun AS, Davoren GK, Descamps S, Erikstad KE, Frederiksen M, Gaston AJ et al (2022) Foraging range scales with colony size in high-latitude seabirds. </w:t>
      </w:r>
      <w:proofErr w:type="spellStart"/>
      <w:r>
        <w:rPr>
          <w:rFonts w:ascii="Times New Roman" w:eastAsia="Times New Roman" w:hAnsi="Times New Roman" w:cs="Times New Roman"/>
          <w:sz w:val="20"/>
          <w:szCs w:val="20"/>
        </w:rPr>
        <w:t>Curr</w:t>
      </w:r>
      <w:proofErr w:type="spellEnd"/>
      <w:r>
        <w:rPr>
          <w:rFonts w:ascii="Times New Roman" w:eastAsia="Times New Roman" w:hAnsi="Times New Roman" w:cs="Times New Roman"/>
          <w:sz w:val="20"/>
          <w:szCs w:val="20"/>
        </w:rPr>
        <w:t xml:space="preserve"> Biol 32:3800–3807. </w:t>
      </w:r>
      <w:hyperlink r:id="rId85">
        <w:r>
          <w:rPr>
            <w:rFonts w:ascii="Times New Roman" w:eastAsia="Times New Roman" w:hAnsi="Times New Roman" w:cs="Times New Roman"/>
            <w:color w:val="0000FF"/>
            <w:sz w:val="20"/>
            <w:szCs w:val="20"/>
            <w:u w:val="single"/>
          </w:rPr>
          <w:t>https://doi.org/10.1016/j.cub.2022.06.084</w:t>
        </w:r>
      </w:hyperlink>
    </w:p>
    <w:p w14:paraId="00000106" w14:textId="77777777" w:rsidR="00D67D77" w:rsidRDefault="00D67D77">
      <w:pPr>
        <w:spacing w:line="360" w:lineRule="auto"/>
        <w:jc w:val="both"/>
        <w:rPr>
          <w:rFonts w:ascii="Times New Roman" w:eastAsia="Times New Roman" w:hAnsi="Times New Roman" w:cs="Times New Roman"/>
          <w:sz w:val="20"/>
          <w:szCs w:val="20"/>
        </w:rPr>
      </w:pPr>
    </w:p>
    <w:p w14:paraId="00000107"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Phillips JA, </w:t>
      </w:r>
      <w:proofErr w:type="spellStart"/>
      <w:r>
        <w:rPr>
          <w:rFonts w:ascii="Times New Roman" w:eastAsia="Times New Roman" w:hAnsi="Times New Roman" w:cs="Times New Roman"/>
          <w:sz w:val="20"/>
          <w:szCs w:val="20"/>
        </w:rPr>
        <w:t>Fayet</w:t>
      </w:r>
      <w:proofErr w:type="spellEnd"/>
      <w:r>
        <w:rPr>
          <w:rFonts w:ascii="Times New Roman" w:eastAsia="Times New Roman" w:hAnsi="Times New Roman" w:cs="Times New Roman"/>
          <w:sz w:val="20"/>
          <w:szCs w:val="20"/>
        </w:rPr>
        <w:t xml:space="preserve"> AL, Guilford T, Manco F, Warwick-Evans V, Trathan P (2021) Foraging conditions for breeding penguins improve with distance from colony and progression of the breeding season at the South Orkney Islands. Mov </w:t>
      </w:r>
      <w:proofErr w:type="spellStart"/>
      <w:r>
        <w:rPr>
          <w:rFonts w:ascii="Times New Roman" w:eastAsia="Times New Roman" w:hAnsi="Times New Roman" w:cs="Times New Roman"/>
          <w:sz w:val="20"/>
          <w:szCs w:val="20"/>
        </w:rPr>
        <w:t>Ecol</w:t>
      </w:r>
      <w:proofErr w:type="spellEnd"/>
      <w:r>
        <w:rPr>
          <w:rFonts w:ascii="Times New Roman" w:eastAsia="Times New Roman" w:hAnsi="Times New Roman" w:cs="Times New Roman"/>
          <w:sz w:val="20"/>
          <w:szCs w:val="20"/>
        </w:rPr>
        <w:t xml:space="preserve"> 9(1), 22. </w:t>
      </w:r>
      <w:hyperlink r:id="rId86">
        <w:r>
          <w:rPr>
            <w:rFonts w:ascii="Times New Roman" w:eastAsia="Times New Roman" w:hAnsi="Times New Roman" w:cs="Times New Roman"/>
            <w:color w:val="0000FF"/>
            <w:sz w:val="20"/>
            <w:szCs w:val="20"/>
            <w:u w:val="single"/>
          </w:rPr>
          <w:t>https://doi.org/10.1186/s40462-021-00261-x</w:t>
        </w:r>
      </w:hyperlink>
    </w:p>
    <w:p w14:paraId="00000108" w14:textId="77777777" w:rsidR="00D67D77" w:rsidRDefault="00D67D77">
      <w:pPr>
        <w:spacing w:line="360" w:lineRule="auto"/>
        <w:jc w:val="both"/>
        <w:rPr>
          <w:rFonts w:ascii="Times New Roman" w:eastAsia="Times New Roman" w:hAnsi="Times New Roman" w:cs="Times New Roman"/>
          <w:sz w:val="20"/>
          <w:szCs w:val="20"/>
        </w:rPr>
      </w:pPr>
    </w:p>
    <w:p w14:paraId="00000109"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Pickett EP, Fraser WR, Patterson-Fraser DL, Cimino MA, Torres LG, Friedlaender AS (2018) Spatial niche partitioning may promote coexistence of </w:t>
      </w:r>
      <w:proofErr w:type="spellStart"/>
      <w:r>
        <w:rPr>
          <w:rFonts w:ascii="Times New Roman" w:eastAsia="Times New Roman" w:hAnsi="Times New Roman" w:cs="Times New Roman"/>
          <w:sz w:val="20"/>
          <w:szCs w:val="20"/>
        </w:rPr>
        <w:t>Pygoscelis</w:t>
      </w:r>
      <w:proofErr w:type="spellEnd"/>
      <w:r>
        <w:rPr>
          <w:rFonts w:ascii="Times New Roman" w:eastAsia="Times New Roman" w:hAnsi="Times New Roman" w:cs="Times New Roman"/>
          <w:sz w:val="20"/>
          <w:szCs w:val="20"/>
        </w:rPr>
        <w:t xml:space="preserve"> penguins as climate-induced sympatry occurs. </w:t>
      </w:r>
      <w:proofErr w:type="spellStart"/>
      <w:r>
        <w:rPr>
          <w:rFonts w:ascii="Times New Roman" w:eastAsia="Times New Roman" w:hAnsi="Times New Roman" w:cs="Times New Roman"/>
          <w:sz w:val="20"/>
          <w:szCs w:val="20"/>
        </w:rPr>
        <w:t>Ecol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Evol</w:t>
      </w:r>
      <w:proofErr w:type="spellEnd"/>
      <w:r>
        <w:rPr>
          <w:rFonts w:ascii="Times New Roman" w:eastAsia="Times New Roman" w:hAnsi="Times New Roman" w:cs="Times New Roman"/>
          <w:sz w:val="20"/>
          <w:szCs w:val="20"/>
        </w:rPr>
        <w:t xml:space="preserve"> 8: 9764–9778. </w:t>
      </w:r>
      <w:hyperlink r:id="rId87">
        <w:r>
          <w:rPr>
            <w:rFonts w:ascii="Times New Roman" w:eastAsia="Times New Roman" w:hAnsi="Times New Roman" w:cs="Times New Roman"/>
            <w:color w:val="0000FF"/>
            <w:sz w:val="20"/>
            <w:szCs w:val="20"/>
            <w:u w:val="single"/>
          </w:rPr>
          <w:t>https://doi.org/10.1002/ece3.4445</w:t>
        </w:r>
      </w:hyperlink>
    </w:p>
    <w:p w14:paraId="0000010A" w14:textId="77777777" w:rsidR="00D67D77" w:rsidRDefault="00D67D77">
      <w:pPr>
        <w:spacing w:line="360" w:lineRule="auto"/>
        <w:jc w:val="both"/>
        <w:rPr>
          <w:rFonts w:ascii="Times New Roman" w:eastAsia="Times New Roman" w:hAnsi="Times New Roman" w:cs="Times New Roman"/>
          <w:sz w:val="20"/>
          <w:szCs w:val="20"/>
        </w:rPr>
      </w:pPr>
    </w:p>
    <w:p w14:paraId="0000010B"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Riaz J, </w:t>
      </w:r>
      <w:proofErr w:type="spellStart"/>
      <w:r>
        <w:rPr>
          <w:rFonts w:ascii="Times New Roman" w:eastAsia="Times New Roman" w:hAnsi="Times New Roman" w:cs="Times New Roman"/>
          <w:sz w:val="20"/>
          <w:szCs w:val="20"/>
        </w:rPr>
        <w:t>Bestley</w:t>
      </w:r>
      <w:proofErr w:type="spellEnd"/>
      <w:r>
        <w:rPr>
          <w:rFonts w:ascii="Times New Roman" w:eastAsia="Times New Roman" w:hAnsi="Times New Roman" w:cs="Times New Roman"/>
          <w:sz w:val="20"/>
          <w:szCs w:val="20"/>
        </w:rPr>
        <w:t xml:space="preserve"> S, </w:t>
      </w:r>
      <w:proofErr w:type="spellStart"/>
      <w:r>
        <w:rPr>
          <w:rFonts w:ascii="Times New Roman" w:eastAsia="Times New Roman" w:hAnsi="Times New Roman" w:cs="Times New Roman"/>
          <w:sz w:val="20"/>
          <w:szCs w:val="20"/>
        </w:rPr>
        <w:t>Wotherspoon</w:t>
      </w:r>
      <w:proofErr w:type="spellEnd"/>
      <w:r>
        <w:rPr>
          <w:rFonts w:ascii="Times New Roman" w:eastAsia="Times New Roman" w:hAnsi="Times New Roman" w:cs="Times New Roman"/>
          <w:sz w:val="20"/>
          <w:szCs w:val="20"/>
        </w:rPr>
        <w:t xml:space="preserve"> S, Freyer J, Emmerson L (2020) From trips to bouts to dives: temporal patterns in the diving </w:t>
      </w:r>
      <w:proofErr w:type="spellStart"/>
      <w:r>
        <w:rPr>
          <w:rFonts w:ascii="Times New Roman" w:eastAsia="Times New Roman" w:hAnsi="Times New Roman" w:cs="Times New Roman"/>
          <w:sz w:val="20"/>
          <w:szCs w:val="20"/>
        </w:rPr>
        <w:t>behaviour</w:t>
      </w:r>
      <w:proofErr w:type="spellEnd"/>
      <w:r>
        <w:rPr>
          <w:rFonts w:ascii="Times New Roman" w:eastAsia="Times New Roman" w:hAnsi="Times New Roman" w:cs="Times New Roman"/>
          <w:sz w:val="20"/>
          <w:szCs w:val="20"/>
        </w:rPr>
        <w:t xml:space="preserve"> of chick-rearing Adélie penguins, East Antarctica. Mar </w:t>
      </w:r>
      <w:proofErr w:type="spellStart"/>
      <w:r>
        <w:rPr>
          <w:rFonts w:ascii="Times New Roman" w:eastAsia="Times New Roman" w:hAnsi="Times New Roman" w:cs="Times New Roman"/>
          <w:sz w:val="20"/>
          <w:szCs w:val="20"/>
        </w:rPr>
        <w:t>Ecol</w:t>
      </w:r>
      <w:proofErr w:type="spellEnd"/>
      <w:r>
        <w:rPr>
          <w:rFonts w:ascii="Times New Roman" w:eastAsia="Times New Roman" w:hAnsi="Times New Roman" w:cs="Times New Roman"/>
          <w:sz w:val="20"/>
          <w:szCs w:val="20"/>
        </w:rPr>
        <w:t xml:space="preserve"> Prog Ser 654, 177-194. </w:t>
      </w:r>
      <w:hyperlink r:id="rId88">
        <w:r>
          <w:rPr>
            <w:rFonts w:ascii="Times New Roman" w:eastAsia="Times New Roman" w:hAnsi="Times New Roman" w:cs="Times New Roman"/>
            <w:color w:val="0000FF"/>
            <w:sz w:val="20"/>
            <w:szCs w:val="20"/>
            <w:u w:val="single"/>
          </w:rPr>
          <w:t>https://doi.org/10.3354/meps13519</w:t>
        </w:r>
      </w:hyperlink>
    </w:p>
    <w:p w14:paraId="0000010C" w14:textId="77777777" w:rsidR="00D67D77" w:rsidRDefault="00D67D77">
      <w:pPr>
        <w:spacing w:line="360" w:lineRule="auto"/>
        <w:jc w:val="both"/>
        <w:rPr>
          <w:rFonts w:ascii="Times New Roman" w:eastAsia="Times New Roman" w:hAnsi="Times New Roman" w:cs="Times New Roman"/>
          <w:sz w:val="20"/>
          <w:szCs w:val="20"/>
        </w:rPr>
      </w:pPr>
    </w:p>
    <w:p w14:paraId="0000010D"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Riaz J, </w:t>
      </w:r>
      <w:proofErr w:type="spellStart"/>
      <w:r>
        <w:rPr>
          <w:rFonts w:ascii="Times New Roman" w:eastAsia="Times New Roman" w:hAnsi="Times New Roman" w:cs="Times New Roman"/>
          <w:sz w:val="20"/>
          <w:szCs w:val="20"/>
        </w:rPr>
        <w:t>Bestley</w:t>
      </w:r>
      <w:proofErr w:type="spellEnd"/>
      <w:r>
        <w:rPr>
          <w:rFonts w:ascii="Times New Roman" w:eastAsia="Times New Roman" w:hAnsi="Times New Roman" w:cs="Times New Roman"/>
          <w:sz w:val="20"/>
          <w:szCs w:val="20"/>
        </w:rPr>
        <w:t xml:space="preserve"> S, </w:t>
      </w:r>
      <w:proofErr w:type="spellStart"/>
      <w:r>
        <w:rPr>
          <w:rFonts w:ascii="Times New Roman" w:eastAsia="Times New Roman" w:hAnsi="Times New Roman" w:cs="Times New Roman"/>
          <w:sz w:val="20"/>
          <w:szCs w:val="20"/>
        </w:rPr>
        <w:t>Wotherspoon</w:t>
      </w:r>
      <w:proofErr w:type="spellEnd"/>
      <w:r>
        <w:rPr>
          <w:rFonts w:ascii="Times New Roman" w:eastAsia="Times New Roman" w:hAnsi="Times New Roman" w:cs="Times New Roman"/>
          <w:sz w:val="20"/>
          <w:szCs w:val="20"/>
        </w:rPr>
        <w:t xml:space="preserve"> S, Cox MJ, Emmerson L (2023) Spatial link between Adélie penguin foraging effort and krill swarm abundance and distribution. Front Mar Sci 10, 63. </w:t>
      </w:r>
      <w:hyperlink r:id="rId89">
        <w:r>
          <w:rPr>
            <w:rFonts w:ascii="Times New Roman" w:eastAsia="Times New Roman" w:hAnsi="Times New Roman" w:cs="Times New Roman"/>
            <w:color w:val="0000FF"/>
            <w:sz w:val="20"/>
            <w:szCs w:val="20"/>
            <w:u w:val="single"/>
          </w:rPr>
          <w:t>https://doi.org/10.3389/fmars.2023.1060984</w:t>
        </w:r>
      </w:hyperlink>
    </w:p>
    <w:p w14:paraId="0000010E" w14:textId="77777777" w:rsidR="00D67D77" w:rsidRDefault="00D67D77">
      <w:pPr>
        <w:spacing w:line="360" w:lineRule="auto"/>
        <w:jc w:val="both"/>
        <w:rPr>
          <w:rFonts w:ascii="Times New Roman" w:eastAsia="Times New Roman" w:hAnsi="Times New Roman" w:cs="Times New Roman"/>
          <w:sz w:val="20"/>
          <w:szCs w:val="20"/>
        </w:rPr>
      </w:pPr>
    </w:p>
    <w:p w14:paraId="0000010F" w14:textId="77777777" w:rsidR="00D67D77" w:rsidRDefault="00000000">
      <w:pPr>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Ropert-Coudert</w:t>
      </w:r>
      <w:proofErr w:type="spellEnd"/>
      <w:r>
        <w:rPr>
          <w:rFonts w:ascii="Times New Roman" w:eastAsia="Times New Roman" w:hAnsi="Times New Roman" w:cs="Times New Roman"/>
          <w:sz w:val="20"/>
          <w:szCs w:val="20"/>
        </w:rPr>
        <w:t xml:space="preserve"> Y, Kato A, </w:t>
      </w:r>
      <w:proofErr w:type="spellStart"/>
      <w:r>
        <w:rPr>
          <w:rFonts w:ascii="Times New Roman" w:eastAsia="Times New Roman" w:hAnsi="Times New Roman" w:cs="Times New Roman"/>
          <w:sz w:val="20"/>
          <w:szCs w:val="20"/>
        </w:rPr>
        <w:t>Shiomi</w:t>
      </w:r>
      <w:proofErr w:type="spellEnd"/>
      <w:r>
        <w:rPr>
          <w:rFonts w:ascii="Times New Roman" w:eastAsia="Times New Roman" w:hAnsi="Times New Roman" w:cs="Times New Roman"/>
          <w:sz w:val="20"/>
          <w:szCs w:val="20"/>
        </w:rPr>
        <w:t xml:space="preserve"> K, </w:t>
      </w:r>
      <w:proofErr w:type="spellStart"/>
      <w:r>
        <w:rPr>
          <w:rFonts w:ascii="Times New Roman" w:eastAsia="Times New Roman" w:hAnsi="Times New Roman" w:cs="Times New Roman"/>
          <w:sz w:val="20"/>
          <w:szCs w:val="20"/>
        </w:rPr>
        <w:t>Barbraud</w:t>
      </w:r>
      <w:proofErr w:type="spellEnd"/>
      <w:r>
        <w:rPr>
          <w:rFonts w:ascii="Times New Roman" w:eastAsia="Times New Roman" w:hAnsi="Times New Roman" w:cs="Times New Roman"/>
          <w:sz w:val="20"/>
          <w:szCs w:val="20"/>
        </w:rPr>
        <w:t xml:space="preserve"> C, </w:t>
      </w:r>
      <w:proofErr w:type="spellStart"/>
      <w:r>
        <w:rPr>
          <w:rFonts w:ascii="Times New Roman" w:eastAsia="Times New Roman" w:hAnsi="Times New Roman" w:cs="Times New Roman"/>
          <w:sz w:val="20"/>
          <w:szCs w:val="20"/>
        </w:rPr>
        <w:t>Angelier</w:t>
      </w:r>
      <w:proofErr w:type="spellEnd"/>
      <w:r>
        <w:rPr>
          <w:rFonts w:ascii="Times New Roman" w:eastAsia="Times New Roman" w:hAnsi="Times New Roman" w:cs="Times New Roman"/>
          <w:sz w:val="20"/>
          <w:szCs w:val="20"/>
        </w:rPr>
        <w:t xml:space="preserve"> F, </w:t>
      </w:r>
      <w:proofErr w:type="spellStart"/>
      <w:r>
        <w:rPr>
          <w:rFonts w:ascii="Times New Roman" w:eastAsia="Times New Roman" w:hAnsi="Times New Roman" w:cs="Times New Roman"/>
          <w:sz w:val="20"/>
          <w:szCs w:val="20"/>
        </w:rPr>
        <w:t>Delord</w:t>
      </w:r>
      <w:proofErr w:type="spellEnd"/>
      <w:r>
        <w:rPr>
          <w:rFonts w:ascii="Times New Roman" w:eastAsia="Times New Roman" w:hAnsi="Times New Roman" w:cs="Times New Roman"/>
          <w:sz w:val="20"/>
          <w:szCs w:val="20"/>
        </w:rPr>
        <w:t xml:space="preserve"> K, Poupart T, </w:t>
      </w:r>
      <w:proofErr w:type="spellStart"/>
      <w:r>
        <w:rPr>
          <w:rFonts w:ascii="Times New Roman" w:eastAsia="Times New Roman" w:hAnsi="Times New Roman" w:cs="Times New Roman"/>
          <w:sz w:val="20"/>
          <w:szCs w:val="20"/>
        </w:rPr>
        <w:t>Koubbi</w:t>
      </w:r>
      <w:proofErr w:type="spellEnd"/>
      <w:r>
        <w:rPr>
          <w:rFonts w:ascii="Times New Roman" w:eastAsia="Times New Roman" w:hAnsi="Times New Roman" w:cs="Times New Roman"/>
          <w:sz w:val="20"/>
          <w:szCs w:val="20"/>
        </w:rPr>
        <w:t xml:space="preserve"> P, </w:t>
      </w:r>
      <w:proofErr w:type="spellStart"/>
      <w:r>
        <w:rPr>
          <w:rFonts w:ascii="Times New Roman" w:eastAsia="Times New Roman" w:hAnsi="Times New Roman" w:cs="Times New Roman"/>
          <w:sz w:val="20"/>
          <w:szCs w:val="20"/>
        </w:rPr>
        <w:t>Raclot</w:t>
      </w:r>
      <w:proofErr w:type="spellEnd"/>
      <w:r>
        <w:rPr>
          <w:rFonts w:ascii="Times New Roman" w:eastAsia="Times New Roman" w:hAnsi="Times New Roman" w:cs="Times New Roman"/>
          <w:sz w:val="20"/>
          <w:szCs w:val="20"/>
        </w:rPr>
        <w:t xml:space="preserve"> T (2018) Two recent massive breeding failures in an Adélie penguin colony call for the creation of a marine protected area in </w:t>
      </w:r>
      <w:proofErr w:type="spellStart"/>
      <w:r>
        <w:rPr>
          <w:rFonts w:ascii="Times New Roman" w:eastAsia="Times New Roman" w:hAnsi="Times New Roman" w:cs="Times New Roman"/>
          <w:sz w:val="20"/>
          <w:szCs w:val="20"/>
        </w:rPr>
        <w:t>D'Urville</w:t>
      </w:r>
      <w:proofErr w:type="spellEnd"/>
      <w:r>
        <w:rPr>
          <w:rFonts w:ascii="Times New Roman" w:eastAsia="Times New Roman" w:hAnsi="Times New Roman" w:cs="Times New Roman"/>
          <w:sz w:val="20"/>
          <w:szCs w:val="20"/>
        </w:rPr>
        <w:t xml:space="preserve"> Sea/Mertz. Front Mar Sci 5, 264. </w:t>
      </w:r>
      <w:hyperlink r:id="rId90">
        <w:r>
          <w:rPr>
            <w:rFonts w:ascii="Times New Roman" w:eastAsia="Times New Roman" w:hAnsi="Times New Roman" w:cs="Times New Roman"/>
            <w:color w:val="0000FF"/>
            <w:sz w:val="20"/>
            <w:szCs w:val="20"/>
            <w:u w:val="single"/>
          </w:rPr>
          <w:t>https://doi.org/10.3389/fmars.2018.00264</w:t>
        </w:r>
      </w:hyperlink>
    </w:p>
    <w:p w14:paraId="00000110" w14:textId="77777777" w:rsidR="00D67D77" w:rsidRDefault="00D67D77">
      <w:pPr>
        <w:spacing w:line="360" w:lineRule="auto"/>
        <w:jc w:val="both"/>
        <w:rPr>
          <w:rFonts w:ascii="Times New Roman" w:eastAsia="Times New Roman" w:hAnsi="Times New Roman" w:cs="Times New Roman"/>
          <w:sz w:val="20"/>
          <w:szCs w:val="20"/>
        </w:rPr>
      </w:pPr>
    </w:p>
    <w:p w14:paraId="00000111" w14:textId="77777777" w:rsidR="00D67D77" w:rsidRDefault="00000000">
      <w:pPr>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Ropert-Coudert</w:t>
      </w:r>
      <w:proofErr w:type="spellEnd"/>
      <w:r>
        <w:rPr>
          <w:rFonts w:ascii="Times New Roman" w:eastAsia="Times New Roman" w:hAnsi="Times New Roman" w:cs="Times New Roman"/>
          <w:sz w:val="20"/>
          <w:szCs w:val="20"/>
        </w:rPr>
        <w:t xml:space="preserve"> Y, Van de Putte AP, Reisinger RR et al (2020) The retrospective analysis of Antarctic tracking data project. Sci Data 7(1), 94. </w:t>
      </w:r>
      <w:hyperlink r:id="rId91">
        <w:r>
          <w:rPr>
            <w:rFonts w:ascii="Times New Roman" w:eastAsia="Times New Roman" w:hAnsi="Times New Roman" w:cs="Times New Roman"/>
            <w:color w:val="0000FF"/>
            <w:sz w:val="20"/>
            <w:szCs w:val="20"/>
            <w:u w:val="single"/>
          </w:rPr>
          <w:t>https://doi.org/10.1038/s41597-020-0406-x</w:t>
        </w:r>
      </w:hyperlink>
    </w:p>
    <w:p w14:paraId="00000112" w14:textId="77777777" w:rsidR="00D67D77" w:rsidRDefault="00D67D77">
      <w:pPr>
        <w:spacing w:line="360" w:lineRule="auto"/>
        <w:jc w:val="both"/>
        <w:rPr>
          <w:rFonts w:ascii="Times New Roman" w:eastAsia="Times New Roman" w:hAnsi="Times New Roman" w:cs="Times New Roman"/>
          <w:sz w:val="20"/>
          <w:szCs w:val="20"/>
        </w:rPr>
      </w:pPr>
    </w:p>
    <w:p w14:paraId="00000113" w14:textId="77777777" w:rsidR="00D67D77" w:rsidRDefault="00000000">
      <w:pPr>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Salmerón</w:t>
      </w:r>
      <w:proofErr w:type="spellEnd"/>
      <w:r>
        <w:rPr>
          <w:rFonts w:ascii="Times New Roman" w:eastAsia="Times New Roman" w:hAnsi="Times New Roman" w:cs="Times New Roman"/>
          <w:sz w:val="20"/>
          <w:szCs w:val="20"/>
        </w:rPr>
        <w:t xml:space="preserve"> N, Belle S, Santa Cruz F et al (2023) Contrasting environmental conditions precluded lower availability of Antarctic krill affecting breeding chinstrap penguins in the Antarctic Peninsula. Sci Rep 13, 5265. </w:t>
      </w:r>
      <w:hyperlink r:id="rId92">
        <w:r>
          <w:rPr>
            <w:rFonts w:ascii="Times New Roman" w:eastAsia="Times New Roman" w:hAnsi="Times New Roman" w:cs="Times New Roman"/>
            <w:color w:val="0000FF"/>
            <w:sz w:val="20"/>
            <w:szCs w:val="20"/>
            <w:u w:val="single"/>
          </w:rPr>
          <w:t>https://doi.org/10.1038/s41598-023-32352-7</w:t>
        </w:r>
      </w:hyperlink>
    </w:p>
    <w:p w14:paraId="00000114" w14:textId="77777777" w:rsidR="00D67D77" w:rsidRDefault="00D67D77">
      <w:pPr>
        <w:spacing w:line="360" w:lineRule="auto"/>
        <w:jc w:val="both"/>
        <w:rPr>
          <w:rFonts w:ascii="Times New Roman" w:eastAsia="Times New Roman" w:hAnsi="Times New Roman" w:cs="Times New Roman"/>
          <w:sz w:val="20"/>
          <w:szCs w:val="20"/>
        </w:rPr>
      </w:pPr>
    </w:p>
    <w:p w14:paraId="00000115"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Santa Cruz F, Ernst B, Arata JA, Parada C (2018) Spatial and temporal dynamics of the Antarctic krill fishery in fishing hotspots in the Bransfield Strait and South Shetland Islands. Fish Res 208, 157-166.</w:t>
      </w:r>
      <w:r>
        <w:t xml:space="preserve"> </w:t>
      </w:r>
      <w:hyperlink r:id="rId93">
        <w:r>
          <w:rPr>
            <w:rFonts w:ascii="Times New Roman" w:eastAsia="Times New Roman" w:hAnsi="Times New Roman" w:cs="Times New Roman"/>
            <w:color w:val="0000FF"/>
            <w:sz w:val="20"/>
            <w:szCs w:val="20"/>
            <w:u w:val="single"/>
          </w:rPr>
          <w:t>https://doi.org/10.1016/j.fishres.2018.07.020</w:t>
        </w:r>
      </w:hyperlink>
    </w:p>
    <w:p w14:paraId="00000116" w14:textId="77777777" w:rsidR="00D67D77" w:rsidRDefault="00D67D77">
      <w:pPr>
        <w:spacing w:line="360" w:lineRule="auto"/>
        <w:jc w:val="both"/>
        <w:rPr>
          <w:rFonts w:ascii="Times New Roman" w:eastAsia="Times New Roman" w:hAnsi="Times New Roman" w:cs="Times New Roman"/>
          <w:sz w:val="20"/>
          <w:szCs w:val="20"/>
        </w:rPr>
      </w:pPr>
    </w:p>
    <w:p w14:paraId="00000117"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Santora JA and Reiss CS (2011) Geospatial variability of krill and top predators within an Antarctic submarine canyon system. Mar Biol 158, 2527-2540. </w:t>
      </w:r>
      <w:hyperlink r:id="rId94">
        <w:r>
          <w:rPr>
            <w:rFonts w:ascii="Times New Roman" w:eastAsia="Times New Roman" w:hAnsi="Times New Roman" w:cs="Times New Roman"/>
            <w:color w:val="0000FF"/>
            <w:sz w:val="20"/>
            <w:szCs w:val="20"/>
            <w:u w:val="single"/>
          </w:rPr>
          <w:t>https://doi.org/10.1007/s00227-011-1753-0</w:t>
        </w:r>
      </w:hyperlink>
    </w:p>
    <w:p w14:paraId="00000118" w14:textId="77777777" w:rsidR="00D67D77" w:rsidRDefault="00D67D77">
      <w:pPr>
        <w:spacing w:line="360" w:lineRule="auto"/>
        <w:jc w:val="both"/>
        <w:rPr>
          <w:rFonts w:ascii="Times New Roman" w:eastAsia="Times New Roman" w:hAnsi="Times New Roman" w:cs="Times New Roman"/>
          <w:sz w:val="20"/>
          <w:szCs w:val="20"/>
        </w:rPr>
      </w:pPr>
    </w:p>
    <w:p w14:paraId="00000119" w14:textId="77777777" w:rsidR="00D67D77" w:rsidRDefault="00000000">
      <w:pPr>
        <w:spacing w:line="360" w:lineRule="auto"/>
        <w:jc w:val="both"/>
        <w:rPr>
          <w:rFonts w:ascii="Times New Roman" w:eastAsia="Times New Roman" w:hAnsi="Times New Roman" w:cs="Times New Roman"/>
          <w:color w:val="0000FF"/>
          <w:sz w:val="20"/>
          <w:szCs w:val="20"/>
          <w:u w:val="single"/>
        </w:rPr>
      </w:pPr>
      <w:r>
        <w:rPr>
          <w:rFonts w:ascii="Times New Roman" w:eastAsia="Times New Roman" w:hAnsi="Times New Roman" w:cs="Times New Roman"/>
          <w:sz w:val="20"/>
          <w:szCs w:val="20"/>
        </w:rPr>
        <w:t xml:space="preserve">Schuler KL, Schroeder GM, Jenks JA, Kie JG (2014) Ad hoc smoothing parameter performance in kernel estimates of GPS‐derived home ranges. Wildlife Biol 20(5), 259-266. </w:t>
      </w:r>
      <w:hyperlink r:id="rId95">
        <w:r>
          <w:rPr>
            <w:rFonts w:ascii="Times New Roman" w:eastAsia="Times New Roman" w:hAnsi="Times New Roman" w:cs="Times New Roman"/>
            <w:color w:val="0000FF"/>
            <w:sz w:val="20"/>
            <w:szCs w:val="20"/>
            <w:u w:val="single"/>
          </w:rPr>
          <w:t>https://doi.org/10.2981/wlb.12117</w:t>
        </w:r>
      </w:hyperlink>
    </w:p>
    <w:p w14:paraId="0000011A" w14:textId="77777777" w:rsidR="00D67D77" w:rsidRDefault="00D67D77">
      <w:pPr>
        <w:spacing w:line="360" w:lineRule="auto"/>
        <w:jc w:val="both"/>
        <w:rPr>
          <w:rFonts w:ascii="Times New Roman" w:eastAsia="Times New Roman" w:hAnsi="Times New Roman" w:cs="Times New Roman"/>
          <w:color w:val="0000FF"/>
          <w:sz w:val="20"/>
          <w:szCs w:val="20"/>
          <w:u w:val="single"/>
        </w:rPr>
      </w:pPr>
    </w:p>
    <w:p w14:paraId="0000011B"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Siegert M, Atkinson A, Banwell A, Brandon M, Convey P, Davies B, Downie R, Edwards T, Hubbard B, Marshall G et al (2019) The Antarctic Peninsula under a 1.5°C global warming scenario. Front Environ Sci 7, 102. </w:t>
      </w:r>
      <w:hyperlink r:id="rId96">
        <w:r>
          <w:rPr>
            <w:rFonts w:ascii="Times New Roman" w:eastAsia="Times New Roman" w:hAnsi="Times New Roman" w:cs="Times New Roman"/>
            <w:color w:val="0000FF"/>
            <w:sz w:val="20"/>
            <w:szCs w:val="20"/>
            <w:u w:val="single"/>
          </w:rPr>
          <w:t>https://doi.org/10.3389/fenvs.2019.00102</w:t>
        </w:r>
      </w:hyperlink>
    </w:p>
    <w:p w14:paraId="0000011C" w14:textId="77777777" w:rsidR="00D67D77" w:rsidRDefault="00D67D77">
      <w:pPr>
        <w:spacing w:line="360" w:lineRule="auto"/>
        <w:jc w:val="both"/>
        <w:rPr>
          <w:rFonts w:ascii="Times New Roman" w:eastAsia="Times New Roman" w:hAnsi="Times New Roman" w:cs="Times New Roman"/>
          <w:sz w:val="20"/>
          <w:szCs w:val="20"/>
        </w:rPr>
      </w:pPr>
    </w:p>
    <w:p w14:paraId="0000011D"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Southwell C, Emmerson L, McKinlay J, Newbery K, Takahashi A, Kato A et al (2015) Spatially extensive standardized surveys reveal widespread, multi-decadal increase in East Antarctic Adélie penguin populations. </w:t>
      </w:r>
      <w:proofErr w:type="spellStart"/>
      <w:r>
        <w:rPr>
          <w:rFonts w:ascii="Times New Roman" w:eastAsia="Times New Roman" w:hAnsi="Times New Roman" w:cs="Times New Roman"/>
          <w:sz w:val="20"/>
          <w:szCs w:val="20"/>
        </w:rPr>
        <w:t>PloS</w:t>
      </w:r>
      <w:proofErr w:type="spellEnd"/>
      <w:r>
        <w:rPr>
          <w:rFonts w:ascii="Times New Roman" w:eastAsia="Times New Roman" w:hAnsi="Times New Roman" w:cs="Times New Roman"/>
          <w:sz w:val="20"/>
          <w:szCs w:val="20"/>
        </w:rPr>
        <w:t xml:space="preserve"> one, 10(10), e0139877.</w:t>
      </w:r>
      <w:r>
        <w:t xml:space="preserve"> </w:t>
      </w:r>
      <w:hyperlink r:id="rId97">
        <w:r>
          <w:rPr>
            <w:rFonts w:ascii="Times New Roman" w:eastAsia="Times New Roman" w:hAnsi="Times New Roman" w:cs="Times New Roman"/>
            <w:color w:val="0000FF"/>
            <w:sz w:val="20"/>
            <w:szCs w:val="20"/>
            <w:u w:val="single"/>
          </w:rPr>
          <w:t>https://doi.org/10.1371/journal.pone.0139877</w:t>
        </w:r>
      </w:hyperlink>
    </w:p>
    <w:p w14:paraId="0000011E" w14:textId="77777777" w:rsidR="00D67D77" w:rsidRDefault="00D67D77">
      <w:pPr>
        <w:spacing w:line="360" w:lineRule="auto"/>
        <w:jc w:val="both"/>
        <w:rPr>
          <w:rFonts w:ascii="Times New Roman" w:eastAsia="Times New Roman" w:hAnsi="Times New Roman" w:cs="Times New Roman"/>
          <w:sz w:val="20"/>
          <w:szCs w:val="20"/>
        </w:rPr>
      </w:pPr>
    </w:p>
    <w:p w14:paraId="0000011F"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Takahashi A, Watanuki Y, Sato K, Kato A, Arai N, Nishikawa J, Naito Y (2003) Parental foraging effort and offspring growth in Adélie penguins: does working hard improve reproductive success?. </w:t>
      </w:r>
      <w:proofErr w:type="spellStart"/>
      <w:r>
        <w:rPr>
          <w:rFonts w:ascii="Times New Roman" w:eastAsia="Times New Roman" w:hAnsi="Times New Roman" w:cs="Times New Roman"/>
          <w:sz w:val="20"/>
          <w:szCs w:val="20"/>
        </w:rPr>
        <w:t>Funct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Ecol</w:t>
      </w:r>
      <w:proofErr w:type="spellEnd"/>
      <w:r>
        <w:rPr>
          <w:rFonts w:ascii="Times New Roman" w:eastAsia="Times New Roman" w:hAnsi="Times New Roman" w:cs="Times New Roman"/>
          <w:sz w:val="20"/>
          <w:szCs w:val="20"/>
        </w:rPr>
        <w:t xml:space="preserve"> 590-597</w:t>
      </w:r>
    </w:p>
    <w:p w14:paraId="00000120" w14:textId="77777777" w:rsidR="00D67D77" w:rsidRDefault="00D67D77">
      <w:pPr>
        <w:spacing w:line="360" w:lineRule="auto"/>
        <w:jc w:val="both"/>
        <w:rPr>
          <w:rFonts w:ascii="Times New Roman" w:eastAsia="Times New Roman" w:hAnsi="Times New Roman" w:cs="Times New Roman"/>
          <w:sz w:val="20"/>
          <w:szCs w:val="20"/>
        </w:rPr>
      </w:pPr>
    </w:p>
    <w:p w14:paraId="00000121"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Trathan PN, Warwick‐Evans V, Hinke JT, Young EF, Murphy EJ, Carneiro APB et al (2018) Managing fishery development in sensitive ecosystems: identifying penguin habitat use to direct management in Antarctica. Ecosphere, 9(8), e02392. </w:t>
      </w:r>
      <w:hyperlink r:id="rId98">
        <w:r>
          <w:rPr>
            <w:rFonts w:ascii="Times New Roman" w:eastAsia="Times New Roman" w:hAnsi="Times New Roman" w:cs="Times New Roman"/>
            <w:color w:val="0000FF"/>
            <w:sz w:val="20"/>
            <w:szCs w:val="20"/>
            <w:u w:val="single"/>
          </w:rPr>
          <w:t>https://doi.org/10.1002/ecs2.2392</w:t>
        </w:r>
      </w:hyperlink>
    </w:p>
    <w:p w14:paraId="00000122" w14:textId="77777777" w:rsidR="00D67D77" w:rsidRDefault="00D67D77">
      <w:pPr>
        <w:spacing w:line="360" w:lineRule="auto"/>
        <w:jc w:val="both"/>
        <w:rPr>
          <w:rFonts w:ascii="Times New Roman" w:eastAsia="Times New Roman" w:hAnsi="Times New Roman" w:cs="Times New Roman"/>
          <w:sz w:val="20"/>
          <w:szCs w:val="20"/>
        </w:rPr>
      </w:pPr>
    </w:p>
    <w:p w14:paraId="00000123"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Trathan PN, Warwick-Evans V, Young EF, Friedlaender A, Kim JH, Kokubun N (2022) The ecosystem approach to management of the Antarctic krill fishery-the ‘devils are in the </w:t>
      </w:r>
      <w:proofErr w:type="spellStart"/>
      <w:r>
        <w:rPr>
          <w:rFonts w:ascii="Times New Roman" w:eastAsia="Times New Roman" w:hAnsi="Times New Roman" w:cs="Times New Roman"/>
          <w:sz w:val="20"/>
          <w:szCs w:val="20"/>
        </w:rPr>
        <w:t>detkruail’at</w:t>
      </w:r>
      <w:proofErr w:type="spellEnd"/>
      <w:r>
        <w:rPr>
          <w:rFonts w:ascii="Times New Roman" w:eastAsia="Times New Roman" w:hAnsi="Times New Roman" w:cs="Times New Roman"/>
          <w:sz w:val="20"/>
          <w:szCs w:val="20"/>
        </w:rPr>
        <w:t xml:space="preserve"> small spatial and temporal scales. J Mar Syst 225, 103598. </w:t>
      </w:r>
      <w:hyperlink r:id="rId99">
        <w:r>
          <w:rPr>
            <w:rFonts w:ascii="Times New Roman" w:eastAsia="Times New Roman" w:hAnsi="Times New Roman" w:cs="Times New Roman"/>
            <w:color w:val="0000FF"/>
            <w:sz w:val="20"/>
            <w:szCs w:val="20"/>
            <w:u w:val="single"/>
          </w:rPr>
          <w:t>https://doi.org/10.1016/j.jmarsys.2021.103598</w:t>
        </w:r>
      </w:hyperlink>
    </w:p>
    <w:p w14:paraId="00000124" w14:textId="77777777" w:rsidR="00D67D77" w:rsidRDefault="00D67D77">
      <w:pPr>
        <w:spacing w:line="360" w:lineRule="auto"/>
        <w:jc w:val="both"/>
        <w:rPr>
          <w:rFonts w:ascii="Times New Roman" w:eastAsia="Times New Roman" w:hAnsi="Times New Roman" w:cs="Times New Roman"/>
          <w:sz w:val="20"/>
          <w:szCs w:val="20"/>
        </w:rPr>
      </w:pPr>
    </w:p>
    <w:p w14:paraId="00000125"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Trivelpiece WZ, Trivelpiece SG, Volkman NJ (1987) Ecological Segregation of Adelie, Gentoo, and Chinstrap Penguins at King George Island, Antarctica. </w:t>
      </w:r>
      <w:proofErr w:type="spellStart"/>
      <w:r>
        <w:rPr>
          <w:rFonts w:ascii="Times New Roman" w:eastAsia="Times New Roman" w:hAnsi="Times New Roman" w:cs="Times New Roman"/>
          <w:sz w:val="20"/>
          <w:szCs w:val="20"/>
        </w:rPr>
        <w:t>Ecol</w:t>
      </w:r>
      <w:proofErr w:type="spellEnd"/>
      <w:r>
        <w:rPr>
          <w:rFonts w:ascii="Times New Roman" w:eastAsia="Times New Roman" w:hAnsi="Times New Roman" w:cs="Times New Roman"/>
          <w:sz w:val="20"/>
          <w:szCs w:val="20"/>
        </w:rPr>
        <w:t xml:space="preserve"> 68: 351-361. </w:t>
      </w:r>
      <w:hyperlink r:id="rId100">
        <w:r>
          <w:rPr>
            <w:rFonts w:ascii="Times New Roman" w:eastAsia="Times New Roman" w:hAnsi="Times New Roman" w:cs="Times New Roman"/>
            <w:color w:val="0000FF"/>
            <w:sz w:val="20"/>
            <w:szCs w:val="20"/>
            <w:u w:val="single"/>
          </w:rPr>
          <w:t>https://doi.org/10.2307/1939266</w:t>
        </w:r>
      </w:hyperlink>
    </w:p>
    <w:p w14:paraId="00000126" w14:textId="77777777" w:rsidR="00D67D77" w:rsidRDefault="00D67D77">
      <w:pPr>
        <w:spacing w:line="360" w:lineRule="auto"/>
        <w:jc w:val="both"/>
        <w:rPr>
          <w:rFonts w:ascii="Times New Roman" w:eastAsia="Times New Roman" w:hAnsi="Times New Roman" w:cs="Times New Roman"/>
          <w:sz w:val="20"/>
          <w:szCs w:val="20"/>
        </w:rPr>
      </w:pPr>
    </w:p>
    <w:p w14:paraId="00000127"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Trivelpiece WZ, Hinke JT, Miller AK, Reiss CS, Trivelpiece SG, Watters GM (2011) Variability in krill biomass links harvesting and climate warming to penguin population changes in Antarctica. PNAS 108(18), 7625-7628. </w:t>
      </w:r>
      <w:hyperlink r:id="rId101">
        <w:r>
          <w:rPr>
            <w:rFonts w:ascii="Times New Roman" w:eastAsia="Times New Roman" w:hAnsi="Times New Roman" w:cs="Times New Roman"/>
            <w:color w:val="0000FF"/>
            <w:sz w:val="20"/>
            <w:szCs w:val="20"/>
            <w:u w:val="single"/>
          </w:rPr>
          <w:t>https://doi.org/10.1073/pnas.1016560108</w:t>
        </w:r>
      </w:hyperlink>
    </w:p>
    <w:p w14:paraId="00000128" w14:textId="77777777" w:rsidR="00D67D77" w:rsidRDefault="00D67D77">
      <w:pPr>
        <w:spacing w:line="360" w:lineRule="auto"/>
        <w:jc w:val="both"/>
        <w:rPr>
          <w:rFonts w:ascii="Times New Roman" w:eastAsia="Times New Roman" w:hAnsi="Times New Roman" w:cs="Times New Roman"/>
          <w:sz w:val="20"/>
          <w:szCs w:val="20"/>
        </w:rPr>
      </w:pPr>
    </w:p>
    <w:p w14:paraId="00000129" w14:textId="77777777" w:rsidR="00D67D77" w:rsidRDefault="00000000">
      <w:pPr>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Waluda</w:t>
      </w:r>
      <w:proofErr w:type="spellEnd"/>
      <w:r>
        <w:rPr>
          <w:rFonts w:ascii="Times New Roman" w:eastAsia="Times New Roman" w:hAnsi="Times New Roman" w:cs="Times New Roman"/>
          <w:sz w:val="20"/>
          <w:szCs w:val="20"/>
        </w:rPr>
        <w:t xml:space="preserve"> CM, Hill SL, Peat HJ, Trathan PN (2017) Long-term variability in the diet and reproductive performance of penguins at Bird Island, South Georgia. Mar Biol 164, 1-14. </w:t>
      </w:r>
      <w:hyperlink r:id="rId102">
        <w:r>
          <w:rPr>
            <w:rFonts w:ascii="Times New Roman" w:eastAsia="Times New Roman" w:hAnsi="Times New Roman" w:cs="Times New Roman"/>
            <w:color w:val="0000FF"/>
            <w:sz w:val="20"/>
            <w:szCs w:val="20"/>
            <w:u w:val="single"/>
          </w:rPr>
          <w:t>https://doi.org/10.1007/s00227-016-3067-8</w:t>
        </w:r>
      </w:hyperlink>
    </w:p>
    <w:p w14:paraId="0000012A" w14:textId="77777777" w:rsidR="00D67D77" w:rsidRDefault="00D67D77">
      <w:pPr>
        <w:spacing w:line="360" w:lineRule="auto"/>
        <w:jc w:val="both"/>
        <w:rPr>
          <w:rFonts w:ascii="Times New Roman" w:eastAsia="Times New Roman" w:hAnsi="Times New Roman" w:cs="Times New Roman"/>
          <w:sz w:val="20"/>
          <w:szCs w:val="20"/>
        </w:rPr>
      </w:pPr>
    </w:p>
    <w:p w14:paraId="0000012B"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Watanabe YY and Takahashi A (2013) Linking animal-borne video to accelerometers reveals prey capture variability. PNAS 110(6), 2199-2204. </w:t>
      </w:r>
      <w:hyperlink r:id="rId103">
        <w:r>
          <w:rPr>
            <w:rFonts w:ascii="Times New Roman" w:eastAsia="Times New Roman" w:hAnsi="Times New Roman" w:cs="Times New Roman"/>
            <w:color w:val="0000FF"/>
            <w:sz w:val="20"/>
            <w:szCs w:val="20"/>
            <w:u w:val="single"/>
          </w:rPr>
          <w:t>https://doi.org/10.1073/pnas.1216244110</w:t>
        </w:r>
      </w:hyperlink>
    </w:p>
    <w:p w14:paraId="0000012C" w14:textId="77777777" w:rsidR="00D67D77" w:rsidRDefault="00D67D77">
      <w:pPr>
        <w:spacing w:line="360" w:lineRule="auto"/>
        <w:jc w:val="both"/>
        <w:rPr>
          <w:rFonts w:ascii="Times New Roman" w:eastAsia="Times New Roman" w:hAnsi="Times New Roman" w:cs="Times New Roman"/>
          <w:sz w:val="20"/>
          <w:szCs w:val="20"/>
        </w:rPr>
      </w:pPr>
    </w:p>
    <w:p w14:paraId="0000012D"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Watanuki Y, Kato A, Mori Y, Naito Y (1993) Diving performance of Adélie penguins in relation to food availability in fast sea-ice areas: comparison between years. J </w:t>
      </w:r>
      <w:proofErr w:type="spellStart"/>
      <w:r>
        <w:rPr>
          <w:rFonts w:ascii="Times New Roman" w:eastAsia="Times New Roman" w:hAnsi="Times New Roman" w:cs="Times New Roman"/>
          <w:sz w:val="20"/>
          <w:szCs w:val="20"/>
        </w:rPr>
        <w:t>Anim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Ecol</w:t>
      </w:r>
      <w:proofErr w:type="spellEnd"/>
      <w:r>
        <w:rPr>
          <w:rFonts w:ascii="Times New Roman" w:eastAsia="Times New Roman" w:hAnsi="Times New Roman" w:cs="Times New Roman"/>
          <w:sz w:val="20"/>
          <w:szCs w:val="20"/>
        </w:rPr>
        <w:t xml:space="preserve"> 634-646.</w:t>
      </w:r>
      <w:r>
        <w:t xml:space="preserve"> </w:t>
      </w:r>
      <w:hyperlink r:id="rId104">
        <w:r>
          <w:rPr>
            <w:rFonts w:ascii="Times New Roman" w:eastAsia="Times New Roman" w:hAnsi="Times New Roman" w:cs="Times New Roman"/>
            <w:color w:val="0000FF"/>
            <w:sz w:val="20"/>
            <w:szCs w:val="20"/>
            <w:u w:val="single"/>
          </w:rPr>
          <w:t>https://doi.org/10.2307/5384</w:t>
        </w:r>
      </w:hyperlink>
    </w:p>
    <w:p w14:paraId="0000012E" w14:textId="77777777" w:rsidR="00D67D77" w:rsidRDefault="00D67D77">
      <w:pPr>
        <w:spacing w:line="360" w:lineRule="auto"/>
        <w:jc w:val="both"/>
        <w:rPr>
          <w:rFonts w:ascii="Times New Roman" w:eastAsia="Times New Roman" w:hAnsi="Times New Roman" w:cs="Times New Roman"/>
          <w:sz w:val="20"/>
          <w:szCs w:val="20"/>
        </w:rPr>
      </w:pPr>
    </w:p>
    <w:p w14:paraId="0000012F"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Watanuki Y, Kato A, Naito Y et al (1997) Diving and foraging </w:t>
      </w:r>
      <w:proofErr w:type="spellStart"/>
      <w:r>
        <w:rPr>
          <w:rFonts w:ascii="Times New Roman" w:eastAsia="Times New Roman" w:hAnsi="Times New Roman" w:cs="Times New Roman"/>
          <w:sz w:val="20"/>
          <w:szCs w:val="20"/>
        </w:rPr>
        <w:t>behaviour</w:t>
      </w:r>
      <w:proofErr w:type="spellEnd"/>
      <w:r>
        <w:rPr>
          <w:rFonts w:ascii="Times New Roman" w:eastAsia="Times New Roman" w:hAnsi="Times New Roman" w:cs="Times New Roman"/>
          <w:sz w:val="20"/>
          <w:szCs w:val="20"/>
        </w:rPr>
        <w:t xml:space="preserve"> of Adélie penguins in areas with and without fast sea-ice. Polar Biol 17, 296–304. </w:t>
      </w:r>
      <w:hyperlink r:id="rId105">
        <w:r>
          <w:rPr>
            <w:rFonts w:ascii="Times New Roman" w:eastAsia="Times New Roman" w:hAnsi="Times New Roman" w:cs="Times New Roman"/>
            <w:color w:val="0000FF"/>
            <w:sz w:val="20"/>
            <w:szCs w:val="20"/>
            <w:u w:val="single"/>
          </w:rPr>
          <w:t>https://doi.org/10.1007/PL00013371</w:t>
        </w:r>
      </w:hyperlink>
    </w:p>
    <w:p w14:paraId="00000130" w14:textId="77777777" w:rsidR="00D67D77" w:rsidRDefault="00D67D77">
      <w:pPr>
        <w:spacing w:line="360" w:lineRule="auto"/>
        <w:jc w:val="both"/>
        <w:rPr>
          <w:rFonts w:ascii="Times New Roman" w:eastAsia="Times New Roman" w:hAnsi="Times New Roman" w:cs="Times New Roman"/>
          <w:sz w:val="20"/>
          <w:szCs w:val="20"/>
        </w:rPr>
      </w:pPr>
    </w:p>
    <w:p w14:paraId="00000131"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Watters GM, Hinke JT, Reiss CS (2020) Long-term observations from Antarctica demonstrate that mismatched scales of fisheries management and predator-prey interaction lead to erroneous conclusions about precaution. Sci Rep 10(1), 2314. </w:t>
      </w:r>
      <w:hyperlink r:id="rId106">
        <w:r>
          <w:rPr>
            <w:rFonts w:ascii="Times New Roman" w:eastAsia="Times New Roman" w:hAnsi="Times New Roman" w:cs="Times New Roman"/>
            <w:color w:val="0000FF"/>
            <w:sz w:val="20"/>
            <w:szCs w:val="20"/>
            <w:u w:val="single"/>
          </w:rPr>
          <w:t>https://doi.org/10.1038/s41598-020-59223-9</w:t>
        </w:r>
      </w:hyperlink>
    </w:p>
    <w:p w14:paraId="00000132" w14:textId="77777777" w:rsidR="00D67D77" w:rsidRDefault="00D67D77">
      <w:pPr>
        <w:spacing w:line="360" w:lineRule="auto"/>
        <w:jc w:val="both"/>
        <w:rPr>
          <w:rFonts w:ascii="Times New Roman" w:eastAsia="Times New Roman" w:hAnsi="Times New Roman" w:cs="Times New Roman"/>
          <w:sz w:val="20"/>
          <w:szCs w:val="20"/>
        </w:rPr>
      </w:pPr>
    </w:p>
    <w:p w14:paraId="00000133"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Widmann M, Kato A, Raymond B, Angelier F, Arthur B, </w:t>
      </w:r>
      <w:proofErr w:type="spellStart"/>
      <w:r>
        <w:rPr>
          <w:rFonts w:ascii="Times New Roman" w:eastAsia="Times New Roman" w:hAnsi="Times New Roman" w:cs="Times New Roman"/>
          <w:sz w:val="20"/>
          <w:szCs w:val="20"/>
        </w:rPr>
        <w:t>Chastel</w:t>
      </w:r>
      <w:proofErr w:type="spellEnd"/>
      <w:r>
        <w:rPr>
          <w:rFonts w:ascii="Times New Roman" w:eastAsia="Times New Roman" w:hAnsi="Times New Roman" w:cs="Times New Roman"/>
          <w:sz w:val="20"/>
          <w:szCs w:val="20"/>
        </w:rPr>
        <w:t xml:space="preserve"> O, </w:t>
      </w:r>
      <w:proofErr w:type="spellStart"/>
      <w:r>
        <w:rPr>
          <w:rFonts w:ascii="Times New Roman" w:eastAsia="Times New Roman" w:hAnsi="Times New Roman" w:cs="Times New Roman"/>
          <w:sz w:val="20"/>
          <w:szCs w:val="20"/>
        </w:rPr>
        <w:t>Ropert-Coudert</w:t>
      </w:r>
      <w:proofErr w:type="spellEnd"/>
      <w:r>
        <w:rPr>
          <w:rFonts w:ascii="Times New Roman" w:eastAsia="Times New Roman" w:hAnsi="Times New Roman" w:cs="Times New Roman"/>
          <w:sz w:val="20"/>
          <w:szCs w:val="20"/>
        </w:rPr>
        <w:t xml:space="preserve"> Y (2015) Habitat use and sex-specific foraging </w:t>
      </w:r>
      <w:proofErr w:type="spellStart"/>
      <w:r>
        <w:rPr>
          <w:rFonts w:ascii="Times New Roman" w:eastAsia="Times New Roman" w:hAnsi="Times New Roman" w:cs="Times New Roman"/>
          <w:sz w:val="20"/>
          <w:szCs w:val="20"/>
        </w:rPr>
        <w:t>behaviour</w:t>
      </w:r>
      <w:proofErr w:type="spellEnd"/>
      <w:r>
        <w:rPr>
          <w:rFonts w:ascii="Times New Roman" w:eastAsia="Times New Roman" w:hAnsi="Times New Roman" w:cs="Times New Roman"/>
          <w:sz w:val="20"/>
          <w:szCs w:val="20"/>
        </w:rPr>
        <w:t xml:space="preserve"> of Adélie penguins throughout the breeding season in Adélie Land, East Antarctica. Mov </w:t>
      </w:r>
      <w:proofErr w:type="spellStart"/>
      <w:r>
        <w:rPr>
          <w:rFonts w:ascii="Times New Roman" w:eastAsia="Times New Roman" w:hAnsi="Times New Roman" w:cs="Times New Roman"/>
          <w:sz w:val="20"/>
          <w:szCs w:val="20"/>
        </w:rPr>
        <w:t>Ecol</w:t>
      </w:r>
      <w:proofErr w:type="spellEnd"/>
      <w:r>
        <w:rPr>
          <w:rFonts w:ascii="Times New Roman" w:eastAsia="Times New Roman" w:hAnsi="Times New Roman" w:cs="Times New Roman"/>
          <w:sz w:val="20"/>
          <w:szCs w:val="20"/>
        </w:rPr>
        <w:t xml:space="preserve"> 3, 1-10. </w:t>
      </w:r>
      <w:hyperlink r:id="rId107">
        <w:r>
          <w:rPr>
            <w:rFonts w:ascii="Times New Roman" w:eastAsia="Times New Roman" w:hAnsi="Times New Roman" w:cs="Times New Roman"/>
            <w:color w:val="0000FF"/>
            <w:sz w:val="20"/>
            <w:szCs w:val="20"/>
            <w:u w:val="single"/>
          </w:rPr>
          <w:t>https://doi.org/10.1186/s40462-015-0052-7</w:t>
        </w:r>
      </w:hyperlink>
    </w:p>
    <w:p w14:paraId="00000134" w14:textId="77777777" w:rsidR="00D67D77" w:rsidRDefault="00D67D77">
      <w:pPr>
        <w:spacing w:line="360" w:lineRule="auto"/>
        <w:jc w:val="both"/>
        <w:rPr>
          <w:rFonts w:ascii="Times New Roman" w:eastAsia="Times New Roman" w:hAnsi="Times New Roman" w:cs="Times New Roman"/>
          <w:sz w:val="20"/>
          <w:szCs w:val="20"/>
        </w:rPr>
      </w:pPr>
    </w:p>
    <w:p w14:paraId="00000135"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Wilson RP (2002) Movements in Adélie Penguins foraging for chicks at Ardley Island, Antarctica: circles within spirals, wheels within wheels. Polar </w:t>
      </w:r>
      <w:proofErr w:type="spellStart"/>
      <w:r>
        <w:rPr>
          <w:rFonts w:ascii="Times New Roman" w:eastAsia="Times New Roman" w:hAnsi="Times New Roman" w:cs="Times New Roman"/>
          <w:sz w:val="20"/>
          <w:szCs w:val="20"/>
        </w:rPr>
        <w:t>Biosci</w:t>
      </w:r>
      <w:proofErr w:type="spellEnd"/>
      <w:r>
        <w:rPr>
          <w:rFonts w:ascii="Times New Roman" w:eastAsia="Times New Roman" w:hAnsi="Times New Roman" w:cs="Times New Roman"/>
          <w:sz w:val="20"/>
          <w:szCs w:val="20"/>
        </w:rPr>
        <w:t xml:space="preserve"> (15), 75-87</w:t>
      </w:r>
    </w:p>
    <w:p w14:paraId="00000136" w14:textId="77777777" w:rsidR="00D67D77" w:rsidRDefault="00D67D77">
      <w:pPr>
        <w:spacing w:line="360" w:lineRule="auto"/>
        <w:jc w:val="both"/>
        <w:rPr>
          <w:rFonts w:ascii="Times New Roman" w:eastAsia="Times New Roman" w:hAnsi="Times New Roman" w:cs="Times New Roman"/>
          <w:sz w:val="20"/>
          <w:szCs w:val="20"/>
        </w:rPr>
      </w:pPr>
    </w:p>
    <w:p w14:paraId="00000137"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Wilson RP (2010) Resource partitioning and niche hyper‐volume overlap in free‐living Pygoscelid penguins. </w:t>
      </w:r>
      <w:proofErr w:type="spellStart"/>
      <w:r>
        <w:rPr>
          <w:rFonts w:ascii="Times New Roman" w:eastAsia="Times New Roman" w:hAnsi="Times New Roman" w:cs="Times New Roman"/>
          <w:sz w:val="20"/>
          <w:szCs w:val="20"/>
        </w:rPr>
        <w:t>Funct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Ecol</w:t>
      </w:r>
      <w:proofErr w:type="spellEnd"/>
      <w:r>
        <w:rPr>
          <w:rFonts w:ascii="Times New Roman" w:eastAsia="Times New Roman" w:hAnsi="Times New Roman" w:cs="Times New Roman"/>
          <w:sz w:val="20"/>
          <w:szCs w:val="20"/>
        </w:rPr>
        <w:t xml:space="preserve"> 24(3), 646-657.</w:t>
      </w:r>
      <w:r>
        <w:t xml:space="preserve"> </w:t>
      </w:r>
      <w:r>
        <w:rPr>
          <w:rFonts w:ascii="Times New Roman" w:eastAsia="Times New Roman" w:hAnsi="Times New Roman" w:cs="Times New Roman"/>
          <w:color w:val="0000FF"/>
          <w:sz w:val="20"/>
          <w:szCs w:val="20"/>
          <w:u w:val="single"/>
        </w:rPr>
        <w:t xml:space="preserve"> </w:t>
      </w:r>
      <w:hyperlink r:id="rId108">
        <w:r>
          <w:rPr>
            <w:rFonts w:ascii="Times New Roman" w:eastAsia="Times New Roman" w:hAnsi="Times New Roman" w:cs="Times New Roman"/>
            <w:color w:val="0000FF"/>
            <w:sz w:val="20"/>
            <w:szCs w:val="20"/>
            <w:u w:val="single"/>
          </w:rPr>
          <w:t>https://doi.org/10.1111/j.1365-2435.2009.01654.x</w:t>
        </w:r>
      </w:hyperlink>
    </w:p>
    <w:p w14:paraId="00000138" w14:textId="77777777" w:rsidR="00D67D77" w:rsidRDefault="00D67D77">
      <w:pPr>
        <w:spacing w:line="360" w:lineRule="auto"/>
        <w:jc w:val="both"/>
        <w:rPr>
          <w:rFonts w:ascii="Times New Roman" w:eastAsia="Times New Roman" w:hAnsi="Times New Roman" w:cs="Times New Roman"/>
          <w:sz w:val="20"/>
          <w:szCs w:val="20"/>
        </w:rPr>
      </w:pPr>
    </w:p>
    <w:p w14:paraId="00000139"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Wilson RP, </w:t>
      </w:r>
      <w:proofErr w:type="spellStart"/>
      <w:r>
        <w:rPr>
          <w:rFonts w:ascii="Times New Roman" w:eastAsia="Times New Roman" w:hAnsi="Times New Roman" w:cs="Times New Roman"/>
          <w:sz w:val="20"/>
          <w:szCs w:val="20"/>
        </w:rPr>
        <w:t>Culik</w:t>
      </w:r>
      <w:proofErr w:type="spellEnd"/>
      <w:r>
        <w:rPr>
          <w:rFonts w:ascii="Times New Roman" w:eastAsia="Times New Roman" w:hAnsi="Times New Roman" w:cs="Times New Roman"/>
          <w:sz w:val="20"/>
          <w:szCs w:val="20"/>
        </w:rPr>
        <w:t xml:space="preserve"> BM, </w:t>
      </w:r>
      <w:proofErr w:type="spellStart"/>
      <w:r>
        <w:rPr>
          <w:rFonts w:ascii="Times New Roman" w:eastAsia="Times New Roman" w:hAnsi="Times New Roman" w:cs="Times New Roman"/>
          <w:sz w:val="20"/>
          <w:szCs w:val="20"/>
        </w:rPr>
        <w:t>Bannasch</w:t>
      </w:r>
      <w:proofErr w:type="spellEnd"/>
      <w:r>
        <w:rPr>
          <w:rFonts w:ascii="Times New Roman" w:eastAsia="Times New Roman" w:hAnsi="Times New Roman" w:cs="Times New Roman"/>
          <w:sz w:val="20"/>
          <w:szCs w:val="20"/>
        </w:rPr>
        <w:t xml:space="preserve"> R, Lage J (1994) Monitoring Antarctic environmental variables using penguins. Mar </w:t>
      </w:r>
      <w:proofErr w:type="spellStart"/>
      <w:r>
        <w:rPr>
          <w:rFonts w:ascii="Times New Roman" w:eastAsia="Times New Roman" w:hAnsi="Times New Roman" w:cs="Times New Roman"/>
          <w:sz w:val="20"/>
          <w:szCs w:val="20"/>
        </w:rPr>
        <w:t>Ecol</w:t>
      </w:r>
      <w:proofErr w:type="spellEnd"/>
      <w:r>
        <w:rPr>
          <w:rFonts w:ascii="Times New Roman" w:eastAsia="Times New Roman" w:hAnsi="Times New Roman" w:cs="Times New Roman"/>
          <w:sz w:val="20"/>
          <w:szCs w:val="20"/>
        </w:rPr>
        <w:t xml:space="preserve"> Prog Ser 199-202</w:t>
      </w:r>
    </w:p>
    <w:p w14:paraId="0000013A" w14:textId="77777777" w:rsidR="00D67D77" w:rsidRDefault="00D67D77">
      <w:pPr>
        <w:spacing w:line="360" w:lineRule="auto"/>
        <w:jc w:val="both"/>
        <w:rPr>
          <w:rFonts w:ascii="Times New Roman" w:eastAsia="Times New Roman" w:hAnsi="Times New Roman" w:cs="Times New Roman"/>
          <w:sz w:val="20"/>
          <w:szCs w:val="20"/>
        </w:rPr>
      </w:pPr>
    </w:p>
    <w:p w14:paraId="0000013B"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Wilson RP, Pütz K, Peters G, </w:t>
      </w:r>
      <w:proofErr w:type="spellStart"/>
      <w:r>
        <w:rPr>
          <w:rFonts w:ascii="Times New Roman" w:eastAsia="Times New Roman" w:hAnsi="Times New Roman" w:cs="Times New Roman"/>
          <w:sz w:val="20"/>
          <w:szCs w:val="20"/>
        </w:rPr>
        <w:t>Culik</w:t>
      </w:r>
      <w:proofErr w:type="spellEnd"/>
      <w:r>
        <w:rPr>
          <w:rFonts w:ascii="Times New Roman" w:eastAsia="Times New Roman" w:hAnsi="Times New Roman" w:cs="Times New Roman"/>
          <w:sz w:val="20"/>
          <w:szCs w:val="20"/>
        </w:rPr>
        <w:t xml:space="preserve"> B, </w:t>
      </w:r>
      <w:proofErr w:type="spellStart"/>
      <w:r>
        <w:rPr>
          <w:rFonts w:ascii="Times New Roman" w:eastAsia="Times New Roman" w:hAnsi="Times New Roman" w:cs="Times New Roman"/>
          <w:sz w:val="20"/>
          <w:szCs w:val="20"/>
        </w:rPr>
        <w:t>Scolaro</w:t>
      </w:r>
      <w:proofErr w:type="spellEnd"/>
      <w:r>
        <w:rPr>
          <w:rFonts w:ascii="Times New Roman" w:eastAsia="Times New Roman" w:hAnsi="Times New Roman" w:cs="Times New Roman"/>
          <w:sz w:val="20"/>
          <w:szCs w:val="20"/>
        </w:rPr>
        <w:t xml:space="preserve"> JA, </w:t>
      </w:r>
      <w:proofErr w:type="spellStart"/>
      <w:r>
        <w:rPr>
          <w:rFonts w:ascii="Times New Roman" w:eastAsia="Times New Roman" w:hAnsi="Times New Roman" w:cs="Times New Roman"/>
          <w:sz w:val="20"/>
          <w:szCs w:val="20"/>
        </w:rPr>
        <w:t>Charrassin</w:t>
      </w:r>
      <w:proofErr w:type="spellEnd"/>
      <w:r>
        <w:rPr>
          <w:rFonts w:ascii="Times New Roman" w:eastAsia="Times New Roman" w:hAnsi="Times New Roman" w:cs="Times New Roman"/>
          <w:sz w:val="20"/>
          <w:szCs w:val="20"/>
        </w:rPr>
        <w:t xml:space="preserve"> JB, </w:t>
      </w:r>
      <w:proofErr w:type="spellStart"/>
      <w:r>
        <w:rPr>
          <w:rFonts w:ascii="Times New Roman" w:eastAsia="Times New Roman" w:hAnsi="Times New Roman" w:cs="Times New Roman"/>
          <w:sz w:val="20"/>
          <w:szCs w:val="20"/>
        </w:rPr>
        <w:t>Ropert-Coudert</w:t>
      </w:r>
      <w:proofErr w:type="spellEnd"/>
      <w:r>
        <w:rPr>
          <w:rFonts w:ascii="Times New Roman" w:eastAsia="Times New Roman" w:hAnsi="Times New Roman" w:cs="Times New Roman"/>
          <w:sz w:val="20"/>
          <w:szCs w:val="20"/>
        </w:rPr>
        <w:t xml:space="preserve"> Y (1997) Long-term attachment of transmitting and recording devices to penguins and other seabirds. </w:t>
      </w:r>
      <w:proofErr w:type="spellStart"/>
      <w:r>
        <w:rPr>
          <w:rFonts w:ascii="Times New Roman" w:eastAsia="Times New Roman" w:hAnsi="Times New Roman" w:cs="Times New Roman"/>
          <w:sz w:val="20"/>
          <w:szCs w:val="20"/>
        </w:rPr>
        <w:t>Wildl</w:t>
      </w:r>
      <w:proofErr w:type="spellEnd"/>
      <w:r>
        <w:rPr>
          <w:rFonts w:ascii="Times New Roman" w:eastAsia="Times New Roman" w:hAnsi="Times New Roman" w:cs="Times New Roman"/>
          <w:sz w:val="20"/>
          <w:szCs w:val="20"/>
        </w:rPr>
        <w:t xml:space="preserve"> Soc Bull 101-106.</w:t>
      </w:r>
    </w:p>
    <w:p w14:paraId="0000013C" w14:textId="77777777" w:rsidR="00D67D77" w:rsidRDefault="00D67D77">
      <w:pPr>
        <w:spacing w:line="360" w:lineRule="auto"/>
        <w:jc w:val="both"/>
        <w:rPr>
          <w:rFonts w:ascii="Times New Roman" w:eastAsia="Times New Roman" w:hAnsi="Times New Roman" w:cs="Times New Roman"/>
          <w:b/>
          <w:sz w:val="20"/>
          <w:szCs w:val="20"/>
        </w:rPr>
      </w:pPr>
    </w:p>
    <w:p w14:paraId="0000013D" w14:textId="77777777" w:rsidR="00D67D77" w:rsidRDefault="00000000">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Tables</w:t>
      </w:r>
    </w:p>
    <w:p w14:paraId="0000013E" w14:textId="77777777" w:rsidR="00D67D77" w:rsidRDefault="00D67D77">
      <w:pPr>
        <w:spacing w:line="360" w:lineRule="auto"/>
        <w:jc w:val="both"/>
        <w:rPr>
          <w:rFonts w:ascii="Times New Roman" w:eastAsia="Times New Roman" w:hAnsi="Times New Roman" w:cs="Times New Roman"/>
          <w:sz w:val="20"/>
          <w:szCs w:val="20"/>
        </w:rPr>
      </w:pPr>
    </w:p>
    <w:p w14:paraId="0000013F"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Table 1.</w:t>
      </w:r>
      <w:r>
        <w:rPr>
          <w:rFonts w:ascii="Times New Roman" w:eastAsia="Times New Roman" w:hAnsi="Times New Roman" w:cs="Times New Roman"/>
          <w:sz w:val="20"/>
          <w:szCs w:val="20"/>
        </w:rPr>
        <w:t xml:space="preserve"> Trip and dive characteristics (mean ± SD) of Adélie penguins breeding in Ardley Island during early and late guard between 2019 and 2022. The (*) indicates that there are significant differences between early and late guard. Significant differences between seasons within the same guard period are shown in bold. UDs were calculated using h-value=1.67 km.</w:t>
      </w:r>
    </w:p>
    <w:tbl>
      <w:tblPr>
        <w:tblStyle w:val="a"/>
        <w:tblW w:w="109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790"/>
        <w:gridCol w:w="2025"/>
        <w:gridCol w:w="2100"/>
        <w:gridCol w:w="1965"/>
        <w:gridCol w:w="2070"/>
      </w:tblGrid>
      <w:tr w:rsidR="00D67D77" w14:paraId="09E9B517" w14:textId="77777777">
        <w:trPr>
          <w:trHeight w:val="288"/>
          <w:jc w:val="center"/>
        </w:trPr>
        <w:tc>
          <w:tcPr>
            <w:tcW w:w="2790" w:type="dxa"/>
            <w:tcBorders>
              <w:top w:val="single" w:sz="4" w:space="0" w:color="000000"/>
              <w:bottom w:val="single" w:sz="4" w:space="0" w:color="000000"/>
            </w:tcBorders>
            <w:tcMar>
              <w:top w:w="43" w:type="dxa"/>
              <w:left w:w="43" w:type="dxa"/>
              <w:bottom w:w="43" w:type="dxa"/>
              <w:right w:w="43" w:type="dxa"/>
            </w:tcMar>
            <w:vAlign w:val="bottom"/>
          </w:tcPr>
          <w:p w14:paraId="00000140" w14:textId="77777777" w:rsidR="00D67D77" w:rsidRDefault="00D67D77">
            <w:pPr>
              <w:spacing w:before="240"/>
              <w:ind w:left="140" w:right="140"/>
              <w:jc w:val="center"/>
              <w:rPr>
                <w:rFonts w:ascii="Times New Roman" w:eastAsia="Times New Roman" w:hAnsi="Times New Roman" w:cs="Times New Roman"/>
                <w:b/>
                <w:sz w:val="20"/>
                <w:szCs w:val="20"/>
              </w:rPr>
            </w:pPr>
          </w:p>
        </w:tc>
        <w:tc>
          <w:tcPr>
            <w:tcW w:w="4125" w:type="dxa"/>
            <w:gridSpan w:val="2"/>
            <w:tcBorders>
              <w:top w:val="single" w:sz="4" w:space="0" w:color="000000"/>
              <w:bottom w:val="single" w:sz="4" w:space="0" w:color="000000"/>
            </w:tcBorders>
            <w:tcMar>
              <w:top w:w="43" w:type="dxa"/>
              <w:left w:w="43" w:type="dxa"/>
              <w:bottom w:w="43" w:type="dxa"/>
              <w:right w:w="43" w:type="dxa"/>
            </w:tcMar>
          </w:tcPr>
          <w:p w14:paraId="00000141" w14:textId="77777777" w:rsidR="00D67D77" w:rsidRDefault="00000000">
            <w:pPr>
              <w:spacing w:before="240"/>
              <w:ind w:left="140" w:right="1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Early Guard</w:t>
            </w:r>
          </w:p>
        </w:tc>
        <w:tc>
          <w:tcPr>
            <w:tcW w:w="4035" w:type="dxa"/>
            <w:gridSpan w:val="2"/>
            <w:tcBorders>
              <w:top w:val="single" w:sz="4" w:space="0" w:color="000000"/>
              <w:bottom w:val="single" w:sz="4" w:space="0" w:color="000000"/>
            </w:tcBorders>
            <w:shd w:val="clear" w:color="auto" w:fill="auto"/>
            <w:tcMar>
              <w:top w:w="43" w:type="dxa"/>
              <w:left w:w="43" w:type="dxa"/>
              <w:bottom w:w="43" w:type="dxa"/>
              <w:right w:w="43" w:type="dxa"/>
            </w:tcMar>
            <w:vAlign w:val="bottom"/>
          </w:tcPr>
          <w:p w14:paraId="00000143" w14:textId="77777777" w:rsidR="00D67D77" w:rsidRDefault="00000000">
            <w:pPr>
              <w:spacing w:before="240"/>
              <w:ind w:left="140" w:right="1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Late Guard</w:t>
            </w:r>
          </w:p>
        </w:tc>
      </w:tr>
      <w:tr w:rsidR="00D67D77" w14:paraId="65D4EAF3" w14:textId="77777777">
        <w:trPr>
          <w:trHeight w:val="386"/>
          <w:jc w:val="center"/>
        </w:trPr>
        <w:tc>
          <w:tcPr>
            <w:tcW w:w="2790" w:type="dxa"/>
            <w:tcBorders>
              <w:top w:val="single" w:sz="4" w:space="0" w:color="000000"/>
            </w:tcBorders>
            <w:shd w:val="clear" w:color="auto" w:fill="auto"/>
            <w:tcMar>
              <w:top w:w="99" w:type="dxa"/>
              <w:left w:w="99" w:type="dxa"/>
              <w:bottom w:w="99" w:type="dxa"/>
              <w:right w:w="99" w:type="dxa"/>
            </w:tcMar>
          </w:tcPr>
          <w:p w14:paraId="00000145" w14:textId="77777777" w:rsidR="00D67D77" w:rsidRDefault="00000000">
            <w:pPr>
              <w:spacing w:before="240"/>
              <w:ind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Season</w:t>
            </w:r>
          </w:p>
        </w:tc>
        <w:tc>
          <w:tcPr>
            <w:tcW w:w="2025" w:type="dxa"/>
            <w:tcBorders>
              <w:top w:val="single" w:sz="4" w:space="0" w:color="000000"/>
            </w:tcBorders>
            <w:shd w:val="clear" w:color="auto" w:fill="auto"/>
            <w:tcMar>
              <w:top w:w="43" w:type="dxa"/>
              <w:left w:w="43" w:type="dxa"/>
              <w:bottom w:w="43" w:type="dxa"/>
              <w:right w:w="43" w:type="dxa"/>
            </w:tcMar>
          </w:tcPr>
          <w:p w14:paraId="00000146"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2019/2020</w:t>
            </w:r>
          </w:p>
        </w:tc>
        <w:tc>
          <w:tcPr>
            <w:tcW w:w="2100" w:type="dxa"/>
            <w:tcBorders>
              <w:top w:val="single" w:sz="4" w:space="0" w:color="000000"/>
            </w:tcBorders>
            <w:shd w:val="clear" w:color="auto" w:fill="auto"/>
            <w:tcMar>
              <w:top w:w="43" w:type="dxa"/>
              <w:left w:w="43" w:type="dxa"/>
              <w:bottom w:w="43" w:type="dxa"/>
              <w:right w:w="43" w:type="dxa"/>
            </w:tcMar>
          </w:tcPr>
          <w:p w14:paraId="00000147"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2021/2022</w:t>
            </w:r>
          </w:p>
        </w:tc>
        <w:tc>
          <w:tcPr>
            <w:tcW w:w="1965" w:type="dxa"/>
            <w:tcBorders>
              <w:top w:val="single" w:sz="4" w:space="0" w:color="000000"/>
            </w:tcBorders>
            <w:shd w:val="clear" w:color="auto" w:fill="auto"/>
            <w:tcMar>
              <w:top w:w="43" w:type="dxa"/>
              <w:left w:w="43" w:type="dxa"/>
              <w:bottom w:w="43" w:type="dxa"/>
              <w:right w:w="43" w:type="dxa"/>
            </w:tcMar>
          </w:tcPr>
          <w:p w14:paraId="00000148"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2020/2021</w:t>
            </w:r>
          </w:p>
        </w:tc>
        <w:tc>
          <w:tcPr>
            <w:tcW w:w="2070" w:type="dxa"/>
            <w:tcBorders>
              <w:top w:val="single" w:sz="4" w:space="0" w:color="000000"/>
            </w:tcBorders>
            <w:shd w:val="clear" w:color="auto" w:fill="auto"/>
            <w:tcMar>
              <w:top w:w="43" w:type="dxa"/>
              <w:left w:w="43" w:type="dxa"/>
              <w:bottom w:w="43" w:type="dxa"/>
              <w:right w:w="43" w:type="dxa"/>
            </w:tcMar>
          </w:tcPr>
          <w:p w14:paraId="00000149"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2021/2022</w:t>
            </w:r>
          </w:p>
        </w:tc>
      </w:tr>
      <w:tr w:rsidR="00D67D77" w14:paraId="344663F0" w14:textId="77777777">
        <w:trPr>
          <w:trHeight w:val="395"/>
          <w:jc w:val="center"/>
        </w:trPr>
        <w:tc>
          <w:tcPr>
            <w:tcW w:w="2790" w:type="dxa"/>
            <w:shd w:val="clear" w:color="auto" w:fill="auto"/>
            <w:tcMar>
              <w:top w:w="99" w:type="dxa"/>
              <w:left w:w="99" w:type="dxa"/>
              <w:bottom w:w="99" w:type="dxa"/>
              <w:right w:w="99" w:type="dxa"/>
            </w:tcMar>
            <w:vAlign w:val="center"/>
          </w:tcPr>
          <w:p w14:paraId="0000014A" w14:textId="77777777" w:rsidR="00D67D77" w:rsidRDefault="00000000">
            <w:pPr>
              <w:spacing w:before="240"/>
              <w:ind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Date of sampling</w:t>
            </w:r>
          </w:p>
        </w:tc>
        <w:tc>
          <w:tcPr>
            <w:tcW w:w="2025" w:type="dxa"/>
            <w:shd w:val="clear" w:color="auto" w:fill="auto"/>
            <w:tcMar>
              <w:top w:w="43" w:type="dxa"/>
              <w:left w:w="43" w:type="dxa"/>
              <w:bottom w:w="43" w:type="dxa"/>
              <w:right w:w="43" w:type="dxa"/>
            </w:tcMar>
            <w:vAlign w:val="center"/>
          </w:tcPr>
          <w:p w14:paraId="0000014B"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 dec-15 dec</w:t>
            </w:r>
          </w:p>
        </w:tc>
        <w:tc>
          <w:tcPr>
            <w:tcW w:w="2100" w:type="dxa"/>
            <w:shd w:val="clear" w:color="auto" w:fill="auto"/>
            <w:tcMar>
              <w:top w:w="43" w:type="dxa"/>
              <w:left w:w="43" w:type="dxa"/>
              <w:bottom w:w="43" w:type="dxa"/>
              <w:right w:w="43" w:type="dxa"/>
            </w:tcMar>
            <w:vAlign w:val="center"/>
          </w:tcPr>
          <w:p w14:paraId="0000014C"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 dec-23 dec</w:t>
            </w:r>
          </w:p>
        </w:tc>
        <w:tc>
          <w:tcPr>
            <w:tcW w:w="1965" w:type="dxa"/>
            <w:shd w:val="clear" w:color="auto" w:fill="auto"/>
            <w:tcMar>
              <w:top w:w="43" w:type="dxa"/>
              <w:left w:w="43" w:type="dxa"/>
              <w:bottom w:w="43" w:type="dxa"/>
              <w:right w:w="43" w:type="dxa"/>
            </w:tcMar>
            <w:vAlign w:val="center"/>
          </w:tcPr>
          <w:p w14:paraId="0000014D"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24 dec-02 </w:t>
            </w:r>
            <w:proofErr w:type="spellStart"/>
            <w:r>
              <w:rPr>
                <w:rFonts w:ascii="Times New Roman" w:eastAsia="Times New Roman" w:hAnsi="Times New Roman" w:cs="Times New Roman"/>
                <w:sz w:val="20"/>
                <w:szCs w:val="20"/>
              </w:rPr>
              <w:t>jan</w:t>
            </w:r>
            <w:proofErr w:type="spellEnd"/>
          </w:p>
        </w:tc>
        <w:tc>
          <w:tcPr>
            <w:tcW w:w="2070" w:type="dxa"/>
            <w:shd w:val="clear" w:color="auto" w:fill="auto"/>
            <w:tcMar>
              <w:top w:w="43" w:type="dxa"/>
              <w:left w:w="43" w:type="dxa"/>
              <w:bottom w:w="43" w:type="dxa"/>
              <w:right w:w="43" w:type="dxa"/>
            </w:tcMar>
            <w:vAlign w:val="center"/>
          </w:tcPr>
          <w:p w14:paraId="0000014E"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24 dec-06 </w:t>
            </w:r>
            <w:proofErr w:type="spellStart"/>
            <w:r>
              <w:rPr>
                <w:rFonts w:ascii="Times New Roman" w:eastAsia="Times New Roman" w:hAnsi="Times New Roman" w:cs="Times New Roman"/>
                <w:sz w:val="20"/>
                <w:szCs w:val="20"/>
              </w:rPr>
              <w:t>jan</w:t>
            </w:r>
            <w:proofErr w:type="spellEnd"/>
          </w:p>
        </w:tc>
      </w:tr>
      <w:tr w:rsidR="00D67D77" w14:paraId="0B74CB1A" w14:textId="77777777">
        <w:trPr>
          <w:trHeight w:val="20"/>
          <w:jc w:val="center"/>
        </w:trPr>
        <w:tc>
          <w:tcPr>
            <w:tcW w:w="2790" w:type="dxa"/>
            <w:shd w:val="clear" w:color="auto" w:fill="D9D9D9"/>
            <w:tcMar>
              <w:top w:w="99" w:type="dxa"/>
              <w:left w:w="99" w:type="dxa"/>
              <w:bottom w:w="99" w:type="dxa"/>
              <w:right w:w="99" w:type="dxa"/>
            </w:tcMar>
            <w:vAlign w:val="center"/>
          </w:tcPr>
          <w:p w14:paraId="0000014F" w14:textId="77777777" w:rsidR="00D67D77" w:rsidRDefault="00000000">
            <w:pPr>
              <w:spacing w:before="240"/>
              <w:ind w:left="140" w:right="140"/>
              <w:rPr>
                <w:rFonts w:ascii="Times New Roman" w:eastAsia="Times New Roman" w:hAnsi="Times New Roman" w:cs="Times New Roman"/>
                <w:b/>
                <w:sz w:val="20"/>
                <w:szCs w:val="20"/>
              </w:rPr>
            </w:pPr>
            <w:r>
              <w:rPr>
                <w:rFonts w:ascii="Times New Roman" w:eastAsia="Times New Roman" w:hAnsi="Times New Roman" w:cs="Times New Roman"/>
                <w:b/>
                <w:sz w:val="20"/>
                <w:szCs w:val="20"/>
              </w:rPr>
              <w:t>Trip parameter</w:t>
            </w:r>
          </w:p>
        </w:tc>
        <w:tc>
          <w:tcPr>
            <w:tcW w:w="2025" w:type="dxa"/>
            <w:shd w:val="clear" w:color="auto" w:fill="D9D9D9"/>
            <w:tcMar>
              <w:top w:w="43" w:type="dxa"/>
              <w:left w:w="43" w:type="dxa"/>
              <w:bottom w:w="43" w:type="dxa"/>
              <w:right w:w="43" w:type="dxa"/>
            </w:tcMar>
            <w:vAlign w:val="center"/>
          </w:tcPr>
          <w:p w14:paraId="00000150" w14:textId="77777777" w:rsidR="00D67D77" w:rsidRDefault="00000000">
            <w:pPr>
              <w:spacing w:before="240"/>
              <w:ind w:left="140" w:right="1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2100" w:type="dxa"/>
            <w:shd w:val="clear" w:color="auto" w:fill="D9D9D9"/>
            <w:tcMar>
              <w:top w:w="43" w:type="dxa"/>
              <w:left w:w="43" w:type="dxa"/>
              <w:bottom w:w="43" w:type="dxa"/>
              <w:right w:w="43" w:type="dxa"/>
            </w:tcMar>
            <w:vAlign w:val="center"/>
          </w:tcPr>
          <w:p w14:paraId="00000151" w14:textId="77777777" w:rsidR="00D67D77" w:rsidRDefault="00000000">
            <w:pPr>
              <w:spacing w:before="240"/>
              <w:ind w:left="140" w:right="1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1965" w:type="dxa"/>
            <w:shd w:val="clear" w:color="auto" w:fill="D9D9D9"/>
            <w:tcMar>
              <w:top w:w="43" w:type="dxa"/>
              <w:left w:w="43" w:type="dxa"/>
              <w:bottom w:w="43" w:type="dxa"/>
              <w:right w:w="43" w:type="dxa"/>
            </w:tcMar>
            <w:vAlign w:val="center"/>
          </w:tcPr>
          <w:p w14:paraId="00000152" w14:textId="77777777" w:rsidR="00D67D77" w:rsidRDefault="00000000">
            <w:pPr>
              <w:spacing w:before="240"/>
              <w:ind w:left="140" w:right="1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2070" w:type="dxa"/>
            <w:shd w:val="clear" w:color="auto" w:fill="D9D9D9"/>
            <w:tcMar>
              <w:top w:w="43" w:type="dxa"/>
              <w:left w:w="43" w:type="dxa"/>
              <w:bottom w:w="43" w:type="dxa"/>
              <w:right w:w="43" w:type="dxa"/>
            </w:tcMar>
            <w:vAlign w:val="center"/>
          </w:tcPr>
          <w:p w14:paraId="00000153" w14:textId="77777777" w:rsidR="00D67D77" w:rsidRDefault="00000000">
            <w:pPr>
              <w:spacing w:before="240"/>
              <w:ind w:left="140" w:right="1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r>
      <w:tr w:rsidR="00D67D77" w14:paraId="1AA060EA" w14:textId="77777777">
        <w:trPr>
          <w:trHeight w:val="288"/>
          <w:jc w:val="center"/>
        </w:trPr>
        <w:tc>
          <w:tcPr>
            <w:tcW w:w="2790" w:type="dxa"/>
            <w:shd w:val="clear" w:color="auto" w:fill="auto"/>
            <w:tcMar>
              <w:top w:w="99" w:type="dxa"/>
              <w:left w:w="99" w:type="dxa"/>
              <w:bottom w:w="99" w:type="dxa"/>
              <w:right w:w="99" w:type="dxa"/>
            </w:tcMar>
            <w:vAlign w:val="center"/>
          </w:tcPr>
          <w:p w14:paraId="00000154" w14:textId="77777777" w:rsidR="00D67D77" w:rsidRDefault="00000000">
            <w:pPr>
              <w:spacing w:before="240"/>
              <w:ind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 Trips (N° </w:t>
            </w:r>
            <w:proofErr w:type="spellStart"/>
            <w:r>
              <w:rPr>
                <w:rFonts w:ascii="Times New Roman" w:eastAsia="Times New Roman" w:hAnsi="Times New Roman" w:cs="Times New Roman"/>
                <w:sz w:val="20"/>
                <w:szCs w:val="20"/>
              </w:rPr>
              <w:t>ind</w:t>
            </w:r>
            <w:proofErr w:type="spellEnd"/>
            <w:r>
              <w:rPr>
                <w:rFonts w:ascii="Times New Roman" w:eastAsia="Times New Roman" w:hAnsi="Times New Roman" w:cs="Times New Roman"/>
                <w:sz w:val="20"/>
                <w:szCs w:val="20"/>
              </w:rPr>
              <w:t>)</w:t>
            </w:r>
          </w:p>
        </w:tc>
        <w:tc>
          <w:tcPr>
            <w:tcW w:w="2025" w:type="dxa"/>
            <w:shd w:val="clear" w:color="auto" w:fill="auto"/>
            <w:tcMar>
              <w:top w:w="43" w:type="dxa"/>
              <w:left w:w="43" w:type="dxa"/>
              <w:bottom w:w="43" w:type="dxa"/>
              <w:right w:w="43" w:type="dxa"/>
            </w:tcMar>
            <w:vAlign w:val="center"/>
          </w:tcPr>
          <w:p w14:paraId="00000155"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 (19)</w:t>
            </w:r>
          </w:p>
        </w:tc>
        <w:tc>
          <w:tcPr>
            <w:tcW w:w="2100" w:type="dxa"/>
            <w:shd w:val="clear" w:color="auto" w:fill="auto"/>
            <w:tcMar>
              <w:top w:w="43" w:type="dxa"/>
              <w:left w:w="43" w:type="dxa"/>
              <w:bottom w:w="43" w:type="dxa"/>
              <w:right w:w="43" w:type="dxa"/>
            </w:tcMar>
            <w:vAlign w:val="center"/>
          </w:tcPr>
          <w:p w14:paraId="00000156"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 (15)</w:t>
            </w:r>
          </w:p>
        </w:tc>
        <w:tc>
          <w:tcPr>
            <w:tcW w:w="1965" w:type="dxa"/>
            <w:shd w:val="clear" w:color="auto" w:fill="auto"/>
            <w:tcMar>
              <w:top w:w="43" w:type="dxa"/>
              <w:left w:w="43" w:type="dxa"/>
              <w:bottom w:w="43" w:type="dxa"/>
              <w:right w:w="43" w:type="dxa"/>
            </w:tcMar>
            <w:vAlign w:val="center"/>
          </w:tcPr>
          <w:p w14:paraId="00000157"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 (16)</w:t>
            </w:r>
          </w:p>
        </w:tc>
        <w:tc>
          <w:tcPr>
            <w:tcW w:w="2070" w:type="dxa"/>
            <w:shd w:val="clear" w:color="auto" w:fill="auto"/>
            <w:tcMar>
              <w:top w:w="43" w:type="dxa"/>
              <w:left w:w="43" w:type="dxa"/>
              <w:bottom w:w="43" w:type="dxa"/>
              <w:right w:w="43" w:type="dxa"/>
            </w:tcMar>
            <w:vAlign w:val="center"/>
          </w:tcPr>
          <w:p w14:paraId="00000158"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 (7)</w:t>
            </w:r>
          </w:p>
        </w:tc>
      </w:tr>
      <w:tr w:rsidR="00D67D77" w14:paraId="15B2BAE4" w14:textId="77777777">
        <w:trPr>
          <w:trHeight w:val="288"/>
          <w:jc w:val="center"/>
        </w:trPr>
        <w:tc>
          <w:tcPr>
            <w:tcW w:w="2790" w:type="dxa"/>
            <w:shd w:val="clear" w:color="auto" w:fill="auto"/>
            <w:tcMar>
              <w:top w:w="99" w:type="dxa"/>
              <w:left w:w="99" w:type="dxa"/>
              <w:bottom w:w="99" w:type="dxa"/>
              <w:right w:w="99" w:type="dxa"/>
            </w:tcMar>
            <w:vAlign w:val="center"/>
          </w:tcPr>
          <w:p w14:paraId="00000159" w14:textId="77777777" w:rsidR="00D67D77" w:rsidRDefault="00000000">
            <w:pPr>
              <w:spacing w:before="240"/>
              <w:ind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Trip duration (h)*</w:t>
            </w:r>
          </w:p>
        </w:tc>
        <w:tc>
          <w:tcPr>
            <w:tcW w:w="2025" w:type="dxa"/>
            <w:shd w:val="clear" w:color="auto" w:fill="auto"/>
            <w:tcMar>
              <w:top w:w="43" w:type="dxa"/>
              <w:left w:w="43" w:type="dxa"/>
              <w:bottom w:w="43" w:type="dxa"/>
              <w:right w:w="43" w:type="dxa"/>
            </w:tcMar>
            <w:vAlign w:val="center"/>
          </w:tcPr>
          <w:p w14:paraId="0000015A" w14:textId="77777777" w:rsidR="00D67D77" w:rsidRDefault="00000000">
            <w:pPr>
              <w:spacing w:before="240"/>
              <w:ind w:left="140" w:right="1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8.63 ± 3.66</w:t>
            </w:r>
          </w:p>
        </w:tc>
        <w:tc>
          <w:tcPr>
            <w:tcW w:w="2100" w:type="dxa"/>
            <w:shd w:val="clear" w:color="auto" w:fill="auto"/>
            <w:tcMar>
              <w:top w:w="43" w:type="dxa"/>
              <w:left w:w="43" w:type="dxa"/>
              <w:bottom w:w="43" w:type="dxa"/>
              <w:right w:w="43" w:type="dxa"/>
            </w:tcMar>
            <w:vAlign w:val="center"/>
          </w:tcPr>
          <w:p w14:paraId="0000015B" w14:textId="77777777" w:rsidR="00D67D77" w:rsidRDefault="00000000">
            <w:pPr>
              <w:spacing w:before="240"/>
              <w:ind w:left="140" w:right="1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18.26 ± 11.26</w:t>
            </w:r>
          </w:p>
        </w:tc>
        <w:tc>
          <w:tcPr>
            <w:tcW w:w="1965" w:type="dxa"/>
            <w:shd w:val="clear" w:color="auto" w:fill="auto"/>
            <w:tcMar>
              <w:top w:w="43" w:type="dxa"/>
              <w:left w:w="43" w:type="dxa"/>
              <w:bottom w:w="43" w:type="dxa"/>
              <w:right w:w="43" w:type="dxa"/>
            </w:tcMar>
            <w:vAlign w:val="center"/>
          </w:tcPr>
          <w:p w14:paraId="0000015C"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20.85 ± 11.01</w:t>
            </w:r>
          </w:p>
        </w:tc>
        <w:tc>
          <w:tcPr>
            <w:tcW w:w="2070" w:type="dxa"/>
            <w:shd w:val="clear" w:color="auto" w:fill="auto"/>
            <w:tcMar>
              <w:top w:w="43" w:type="dxa"/>
              <w:left w:w="43" w:type="dxa"/>
              <w:bottom w:w="43" w:type="dxa"/>
              <w:right w:w="43" w:type="dxa"/>
            </w:tcMar>
            <w:vAlign w:val="center"/>
          </w:tcPr>
          <w:p w14:paraId="0000015D"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22.55 ± 11.44</w:t>
            </w:r>
          </w:p>
        </w:tc>
      </w:tr>
      <w:tr w:rsidR="00D67D77" w14:paraId="04B8740E" w14:textId="77777777">
        <w:trPr>
          <w:trHeight w:val="288"/>
          <w:jc w:val="center"/>
        </w:trPr>
        <w:tc>
          <w:tcPr>
            <w:tcW w:w="2790" w:type="dxa"/>
            <w:shd w:val="clear" w:color="auto" w:fill="auto"/>
            <w:tcMar>
              <w:top w:w="99" w:type="dxa"/>
              <w:left w:w="99" w:type="dxa"/>
              <w:bottom w:w="99" w:type="dxa"/>
              <w:right w:w="99" w:type="dxa"/>
            </w:tcMar>
            <w:vAlign w:val="center"/>
          </w:tcPr>
          <w:p w14:paraId="0000015E" w14:textId="77777777" w:rsidR="00D67D77" w:rsidRDefault="00000000">
            <w:pPr>
              <w:spacing w:before="240"/>
              <w:ind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Max. distance from colony (km)*</w:t>
            </w:r>
          </w:p>
        </w:tc>
        <w:tc>
          <w:tcPr>
            <w:tcW w:w="2025" w:type="dxa"/>
            <w:shd w:val="clear" w:color="auto" w:fill="auto"/>
            <w:tcMar>
              <w:top w:w="43" w:type="dxa"/>
              <w:left w:w="43" w:type="dxa"/>
              <w:bottom w:w="43" w:type="dxa"/>
              <w:right w:w="43" w:type="dxa"/>
            </w:tcMar>
            <w:vAlign w:val="center"/>
          </w:tcPr>
          <w:p w14:paraId="0000015F" w14:textId="77777777" w:rsidR="00D67D77" w:rsidRDefault="00000000">
            <w:pPr>
              <w:spacing w:before="240"/>
              <w:ind w:left="140" w:right="1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6.6 ± 5.42</w:t>
            </w:r>
          </w:p>
        </w:tc>
        <w:tc>
          <w:tcPr>
            <w:tcW w:w="2100" w:type="dxa"/>
            <w:shd w:val="clear" w:color="auto" w:fill="auto"/>
            <w:tcMar>
              <w:top w:w="43" w:type="dxa"/>
              <w:left w:w="43" w:type="dxa"/>
              <w:bottom w:w="43" w:type="dxa"/>
              <w:right w:w="43" w:type="dxa"/>
            </w:tcMar>
            <w:vAlign w:val="center"/>
          </w:tcPr>
          <w:p w14:paraId="00000160" w14:textId="77777777" w:rsidR="00D67D77" w:rsidRDefault="00000000">
            <w:pPr>
              <w:spacing w:before="240"/>
              <w:ind w:left="140" w:right="1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15.21 ± 14.76</w:t>
            </w:r>
          </w:p>
        </w:tc>
        <w:tc>
          <w:tcPr>
            <w:tcW w:w="1965" w:type="dxa"/>
            <w:shd w:val="clear" w:color="auto" w:fill="auto"/>
            <w:tcMar>
              <w:top w:w="43" w:type="dxa"/>
              <w:left w:w="43" w:type="dxa"/>
              <w:bottom w:w="43" w:type="dxa"/>
              <w:right w:w="43" w:type="dxa"/>
            </w:tcMar>
            <w:vAlign w:val="center"/>
          </w:tcPr>
          <w:p w14:paraId="00000161"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25.16 ± 17.92</w:t>
            </w:r>
          </w:p>
        </w:tc>
        <w:tc>
          <w:tcPr>
            <w:tcW w:w="2070" w:type="dxa"/>
            <w:shd w:val="clear" w:color="auto" w:fill="auto"/>
            <w:tcMar>
              <w:top w:w="43" w:type="dxa"/>
              <w:left w:w="43" w:type="dxa"/>
              <w:bottom w:w="43" w:type="dxa"/>
              <w:right w:w="43" w:type="dxa"/>
            </w:tcMar>
            <w:vAlign w:val="center"/>
          </w:tcPr>
          <w:p w14:paraId="00000162"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23.77 ± 19.00</w:t>
            </w:r>
          </w:p>
        </w:tc>
      </w:tr>
      <w:tr w:rsidR="00D67D77" w14:paraId="3348EB8B" w14:textId="77777777">
        <w:trPr>
          <w:trHeight w:val="288"/>
          <w:jc w:val="center"/>
        </w:trPr>
        <w:tc>
          <w:tcPr>
            <w:tcW w:w="2790" w:type="dxa"/>
            <w:shd w:val="clear" w:color="auto" w:fill="auto"/>
            <w:tcMar>
              <w:top w:w="99" w:type="dxa"/>
              <w:left w:w="99" w:type="dxa"/>
              <w:bottom w:w="99" w:type="dxa"/>
              <w:right w:w="99" w:type="dxa"/>
            </w:tcMar>
            <w:vAlign w:val="center"/>
          </w:tcPr>
          <w:p w14:paraId="00000163" w14:textId="77777777" w:rsidR="00D67D77" w:rsidRDefault="00000000">
            <w:pPr>
              <w:spacing w:before="240"/>
              <w:ind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Total distance traveled (km)*</w:t>
            </w:r>
          </w:p>
        </w:tc>
        <w:tc>
          <w:tcPr>
            <w:tcW w:w="2025" w:type="dxa"/>
            <w:shd w:val="clear" w:color="auto" w:fill="auto"/>
            <w:tcMar>
              <w:top w:w="43" w:type="dxa"/>
              <w:left w:w="43" w:type="dxa"/>
              <w:bottom w:w="43" w:type="dxa"/>
              <w:right w:w="43" w:type="dxa"/>
            </w:tcMar>
            <w:vAlign w:val="center"/>
          </w:tcPr>
          <w:p w14:paraId="00000164" w14:textId="77777777" w:rsidR="00D67D77" w:rsidRDefault="00000000">
            <w:pPr>
              <w:spacing w:before="240"/>
              <w:ind w:left="140" w:right="1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19.33 ± 12.33</w:t>
            </w:r>
          </w:p>
        </w:tc>
        <w:tc>
          <w:tcPr>
            <w:tcW w:w="2100" w:type="dxa"/>
            <w:shd w:val="clear" w:color="auto" w:fill="auto"/>
            <w:tcMar>
              <w:top w:w="43" w:type="dxa"/>
              <w:left w:w="43" w:type="dxa"/>
              <w:bottom w:w="43" w:type="dxa"/>
              <w:right w:w="43" w:type="dxa"/>
            </w:tcMar>
            <w:vAlign w:val="center"/>
          </w:tcPr>
          <w:p w14:paraId="00000165" w14:textId="77777777" w:rsidR="00D67D77" w:rsidRDefault="00000000">
            <w:pPr>
              <w:spacing w:before="240"/>
              <w:ind w:left="140" w:right="1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43.33 ± 36.26</w:t>
            </w:r>
          </w:p>
        </w:tc>
        <w:tc>
          <w:tcPr>
            <w:tcW w:w="1965" w:type="dxa"/>
            <w:shd w:val="clear" w:color="auto" w:fill="auto"/>
            <w:tcMar>
              <w:top w:w="43" w:type="dxa"/>
              <w:left w:w="43" w:type="dxa"/>
              <w:bottom w:w="43" w:type="dxa"/>
              <w:right w:w="43" w:type="dxa"/>
            </w:tcMar>
            <w:vAlign w:val="center"/>
          </w:tcPr>
          <w:p w14:paraId="00000166"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64.66 ± 40.40</w:t>
            </w:r>
          </w:p>
        </w:tc>
        <w:tc>
          <w:tcPr>
            <w:tcW w:w="2070" w:type="dxa"/>
            <w:shd w:val="clear" w:color="auto" w:fill="auto"/>
            <w:tcMar>
              <w:top w:w="43" w:type="dxa"/>
              <w:left w:w="43" w:type="dxa"/>
              <w:bottom w:w="43" w:type="dxa"/>
              <w:right w:w="43" w:type="dxa"/>
            </w:tcMar>
            <w:vAlign w:val="center"/>
          </w:tcPr>
          <w:p w14:paraId="00000167"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62.47 ± 42.23</w:t>
            </w:r>
          </w:p>
        </w:tc>
      </w:tr>
      <w:tr w:rsidR="00D67D77" w14:paraId="0F80FEA7" w14:textId="77777777">
        <w:trPr>
          <w:trHeight w:val="288"/>
          <w:jc w:val="center"/>
        </w:trPr>
        <w:tc>
          <w:tcPr>
            <w:tcW w:w="2790" w:type="dxa"/>
            <w:shd w:val="clear" w:color="auto" w:fill="auto"/>
            <w:tcMar>
              <w:top w:w="99" w:type="dxa"/>
              <w:left w:w="99" w:type="dxa"/>
              <w:bottom w:w="99" w:type="dxa"/>
              <w:right w:w="99" w:type="dxa"/>
            </w:tcMar>
            <w:vAlign w:val="center"/>
          </w:tcPr>
          <w:p w14:paraId="00000168" w14:textId="77777777" w:rsidR="00D67D77" w:rsidRDefault="00000000">
            <w:pPr>
              <w:spacing w:before="240"/>
              <w:ind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Max. trip depth (m)*</w:t>
            </w:r>
          </w:p>
        </w:tc>
        <w:tc>
          <w:tcPr>
            <w:tcW w:w="2025" w:type="dxa"/>
            <w:shd w:val="clear" w:color="auto" w:fill="auto"/>
            <w:tcMar>
              <w:top w:w="43" w:type="dxa"/>
              <w:left w:w="43" w:type="dxa"/>
              <w:bottom w:w="43" w:type="dxa"/>
              <w:right w:w="43" w:type="dxa"/>
            </w:tcMar>
            <w:vAlign w:val="center"/>
          </w:tcPr>
          <w:p w14:paraId="00000169" w14:textId="77777777" w:rsidR="00D67D77" w:rsidRDefault="00000000">
            <w:pPr>
              <w:spacing w:before="240"/>
              <w:ind w:left="140" w:right="1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73.14 ± 17.24</w:t>
            </w:r>
          </w:p>
        </w:tc>
        <w:tc>
          <w:tcPr>
            <w:tcW w:w="2100" w:type="dxa"/>
            <w:shd w:val="clear" w:color="auto" w:fill="auto"/>
            <w:tcMar>
              <w:top w:w="43" w:type="dxa"/>
              <w:left w:w="43" w:type="dxa"/>
              <w:bottom w:w="43" w:type="dxa"/>
              <w:right w:w="43" w:type="dxa"/>
            </w:tcMar>
            <w:vAlign w:val="center"/>
          </w:tcPr>
          <w:p w14:paraId="0000016A" w14:textId="77777777" w:rsidR="00D67D77" w:rsidRDefault="00000000">
            <w:pPr>
              <w:spacing w:before="240"/>
              <w:ind w:left="140" w:right="1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86.35 ± 19.95</w:t>
            </w:r>
          </w:p>
        </w:tc>
        <w:tc>
          <w:tcPr>
            <w:tcW w:w="1965" w:type="dxa"/>
            <w:shd w:val="clear" w:color="auto" w:fill="auto"/>
            <w:tcMar>
              <w:top w:w="43" w:type="dxa"/>
              <w:left w:w="43" w:type="dxa"/>
              <w:bottom w:w="43" w:type="dxa"/>
              <w:right w:w="43" w:type="dxa"/>
            </w:tcMar>
            <w:vAlign w:val="center"/>
          </w:tcPr>
          <w:p w14:paraId="0000016B"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90.85 ± 14.73</w:t>
            </w:r>
          </w:p>
        </w:tc>
        <w:tc>
          <w:tcPr>
            <w:tcW w:w="2070" w:type="dxa"/>
            <w:shd w:val="clear" w:color="auto" w:fill="auto"/>
            <w:tcMar>
              <w:top w:w="43" w:type="dxa"/>
              <w:left w:w="43" w:type="dxa"/>
              <w:bottom w:w="43" w:type="dxa"/>
              <w:right w:w="43" w:type="dxa"/>
            </w:tcMar>
            <w:vAlign w:val="center"/>
          </w:tcPr>
          <w:p w14:paraId="0000016C"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85.50 ± 21.03</w:t>
            </w:r>
          </w:p>
        </w:tc>
      </w:tr>
      <w:tr w:rsidR="00D67D77" w14:paraId="62B60743" w14:textId="77777777">
        <w:trPr>
          <w:trHeight w:val="746"/>
          <w:jc w:val="center"/>
        </w:trPr>
        <w:tc>
          <w:tcPr>
            <w:tcW w:w="2790" w:type="dxa"/>
            <w:shd w:val="clear" w:color="auto" w:fill="auto"/>
            <w:tcMar>
              <w:top w:w="99" w:type="dxa"/>
              <w:left w:w="99" w:type="dxa"/>
              <w:bottom w:w="99" w:type="dxa"/>
              <w:right w:w="99" w:type="dxa"/>
            </w:tcMar>
            <w:vAlign w:val="center"/>
          </w:tcPr>
          <w:p w14:paraId="0000016D" w14:textId="77777777" w:rsidR="00D67D77" w:rsidRDefault="00000000">
            <w:pPr>
              <w:spacing w:before="240"/>
              <w:ind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Home range (95% UD) (km2)*</w:t>
            </w:r>
          </w:p>
        </w:tc>
        <w:tc>
          <w:tcPr>
            <w:tcW w:w="2025" w:type="dxa"/>
            <w:shd w:val="clear" w:color="auto" w:fill="auto"/>
            <w:tcMar>
              <w:top w:w="43" w:type="dxa"/>
              <w:left w:w="43" w:type="dxa"/>
              <w:bottom w:w="43" w:type="dxa"/>
              <w:right w:w="43" w:type="dxa"/>
            </w:tcMar>
            <w:vAlign w:val="center"/>
          </w:tcPr>
          <w:p w14:paraId="0000016E" w14:textId="77777777" w:rsidR="00D67D77" w:rsidRDefault="00000000">
            <w:pPr>
              <w:spacing w:before="240"/>
              <w:ind w:left="140" w:right="1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126.25 ± 61.68</w:t>
            </w:r>
          </w:p>
        </w:tc>
        <w:tc>
          <w:tcPr>
            <w:tcW w:w="2100" w:type="dxa"/>
            <w:shd w:val="clear" w:color="auto" w:fill="auto"/>
            <w:tcMar>
              <w:top w:w="43" w:type="dxa"/>
              <w:left w:w="43" w:type="dxa"/>
              <w:bottom w:w="43" w:type="dxa"/>
              <w:right w:w="43" w:type="dxa"/>
            </w:tcMar>
            <w:vAlign w:val="center"/>
          </w:tcPr>
          <w:p w14:paraId="0000016F" w14:textId="77777777" w:rsidR="00D67D77" w:rsidRDefault="00000000">
            <w:pPr>
              <w:spacing w:before="240"/>
              <w:ind w:left="140" w:right="1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361.58 ± 270.51</w:t>
            </w:r>
          </w:p>
        </w:tc>
        <w:tc>
          <w:tcPr>
            <w:tcW w:w="1965" w:type="dxa"/>
            <w:shd w:val="clear" w:color="auto" w:fill="auto"/>
            <w:tcMar>
              <w:top w:w="43" w:type="dxa"/>
              <w:left w:w="43" w:type="dxa"/>
              <w:bottom w:w="43" w:type="dxa"/>
              <w:right w:w="43" w:type="dxa"/>
            </w:tcMar>
            <w:vAlign w:val="center"/>
          </w:tcPr>
          <w:p w14:paraId="00000170"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587.78 ± 215.56</w:t>
            </w:r>
          </w:p>
        </w:tc>
        <w:tc>
          <w:tcPr>
            <w:tcW w:w="2070" w:type="dxa"/>
            <w:shd w:val="clear" w:color="auto" w:fill="auto"/>
            <w:tcMar>
              <w:top w:w="43" w:type="dxa"/>
              <w:left w:w="43" w:type="dxa"/>
              <w:bottom w:w="43" w:type="dxa"/>
              <w:right w:w="43" w:type="dxa"/>
            </w:tcMar>
            <w:vAlign w:val="center"/>
          </w:tcPr>
          <w:p w14:paraId="00000171"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580.40 ± 231.62</w:t>
            </w:r>
          </w:p>
        </w:tc>
      </w:tr>
      <w:tr w:rsidR="00D67D77" w14:paraId="7C4170D3" w14:textId="77777777">
        <w:trPr>
          <w:trHeight w:val="656"/>
          <w:jc w:val="center"/>
        </w:trPr>
        <w:tc>
          <w:tcPr>
            <w:tcW w:w="2790" w:type="dxa"/>
            <w:shd w:val="clear" w:color="auto" w:fill="auto"/>
            <w:tcMar>
              <w:top w:w="99" w:type="dxa"/>
              <w:left w:w="99" w:type="dxa"/>
              <w:bottom w:w="99" w:type="dxa"/>
              <w:right w:w="99" w:type="dxa"/>
            </w:tcMar>
            <w:vAlign w:val="center"/>
          </w:tcPr>
          <w:p w14:paraId="00000172" w14:textId="77777777" w:rsidR="00D67D77" w:rsidRDefault="00000000">
            <w:pPr>
              <w:spacing w:before="240"/>
              <w:ind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Home range (90% UD) (km2)*</w:t>
            </w:r>
          </w:p>
        </w:tc>
        <w:tc>
          <w:tcPr>
            <w:tcW w:w="2025" w:type="dxa"/>
            <w:shd w:val="clear" w:color="auto" w:fill="auto"/>
            <w:tcMar>
              <w:top w:w="43" w:type="dxa"/>
              <w:left w:w="43" w:type="dxa"/>
              <w:bottom w:w="43" w:type="dxa"/>
              <w:right w:w="43" w:type="dxa"/>
            </w:tcMar>
            <w:vAlign w:val="center"/>
          </w:tcPr>
          <w:p w14:paraId="00000173" w14:textId="77777777" w:rsidR="00D67D77" w:rsidRDefault="00000000">
            <w:pPr>
              <w:spacing w:before="240"/>
              <w:ind w:left="140" w:right="1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100.69 ± 51.48</w:t>
            </w:r>
          </w:p>
        </w:tc>
        <w:tc>
          <w:tcPr>
            <w:tcW w:w="2100" w:type="dxa"/>
            <w:shd w:val="clear" w:color="auto" w:fill="auto"/>
            <w:tcMar>
              <w:top w:w="43" w:type="dxa"/>
              <w:left w:w="43" w:type="dxa"/>
              <w:bottom w:w="43" w:type="dxa"/>
              <w:right w:w="43" w:type="dxa"/>
            </w:tcMar>
            <w:vAlign w:val="center"/>
          </w:tcPr>
          <w:p w14:paraId="00000174" w14:textId="77777777" w:rsidR="00D67D77" w:rsidRDefault="00000000">
            <w:pPr>
              <w:spacing w:before="240"/>
              <w:ind w:left="140" w:right="1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293.36 ± 226.59</w:t>
            </w:r>
          </w:p>
        </w:tc>
        <w:tc>
          <w:tcPr>
            <w:tcW w:w="1965" w:type="dxa"/>
            <w:shd w:val="clear" w:color="auto" w:fill="auto"/>
            <w:tcMar>
              <w:top w:w="43" w:type="dxa"/>
              <w:left w:w="43" w:type="dxa"/>
              <w:bottom w:w="43" w:type="dxa"/>
              <w:right w:w="43" w:type="dxa"/>
            </w:tcMar>
            <w:vAlign w:val="center"/>
          </w:tcPr>
          <w:p w14:paraId="00000175"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490.67 ± 185.41</w:t>
            </w:r>
          </w:p>
        </w:tc>
        <w:tc>
          <w:tcPr>
            <w:tcW w:w="2070" w:type="dxa"/>
            <w:shd w:val="clear" w:color="auto" w:fill="auto"/>
            <w:tcMar>
              <w:top w:w="43" w:type="dxa"/>
              <w:left w:w="43" w:type="dxa"/>
              <w:bottom w:w="43" w:type="dxa"/>
              <w:right w:w="43" w:type="dxa"/>
            </w:tcMar>
            <w:vAlign w:val="center"/>
          </w:tcPr>
          <w:p w14:paraId="00000176"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482.65 ± 198.17</w:t>
            </w:r>
          </w:p>
        </w:tc>
      </w:tr>
      <w:tr w:rsidR="00D67D77" w14:paraId="75924689" w14:textId="77777777">
        <w:trPr>
          <w:trHeight w:val="288"/>
          <w:jc w:val="center"/>
        </w:trPr>
        <w:tc>
          <w:tcPr>
            <w:tcW w:w="2790" w:type="dxa"/>
            <w:shd w:val="clear" w:color="auto" w:fill="auto"/>
            <w:tcMar>
              <w:top w:w="99" w:type="dxa"/>
              <w:left w:w="99" w:type="dxa"/>
              <w:bottom w:w="99" w:type="dxa"/>
              <w:right w:w="99" w:type="dxa"/>
            </w:tcMar>
            <w:vAlign w:val="center"/>
          </w:tcPr>
          <w:p w14:paraId="00000177" w14:textId="77777777" w:rsidR="00D67D77" w:rsidRDefault="00000000">
            <w:pPr>
              <w:spacing w:before="240"/>
              <w:ind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Home range (50% UD) (km2)*</w:t>
            </w:r>
          </w:p>
        </w:tc>
        <w:tc>
          <w:tcPr>
            <w:tcW w:w="2025" w:type="dxa"/>
            <w:shd w:val="clear" w:color="auto" w:fill="auto"/>
            <w:tcMar>
              <w:top w:w="43" w:type="dxa"/>
              <w:left w:w="43" w:type="dxa"/>
              <w:bottom w:w="43" w:type="dxa"/>
              <w:right w:w="43" w:type="dxa"/>
            </w:tcMar>
            <w:vAlign w:val="center"/>
          </w:tcPr>
          <w:p w14:paraId="00000178" w14:textId="77777777" w:rsidR="00D67D77" w:rsidRDefault="00000000">
            <w:pPr>
              <w:spacing w:before="240"/>
              <w:ind w:left="140" w:right="1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31.59 ± 15.99</w:t>
            </w:r>
          </w:p>
        </w:tc>
        <w:tc>
          <w:tcPr>
            <w:tcW w:w="2100" w:type="dxa"/>
            <w:shd w:val="clear" w:color="auto" w:fill="auto"/>
            <w:tcMar>
              <w:top w:w="43" w:type="dxa"/>
              <w:left w:w="43" w:type="dxa"/>
              <w:bottom w:w="43" w:type="dxa"/>
              <w:right w:w="43" w:type="dxa"/>
            </w:tcMar>
            <w:vAlign w:val="center"/>
          </w:tcPr>
          <w:p w14:paraId="00000179" w14:textId="77777777" w:rsidR="00D67D77" w:rsidRDefault="00000000">
            <w:pPr>
              <w:spacing w:before="240"/>
              <w:ind w:left="140" w:right="1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80.40 ± 75.91</w:t>
            </w:r>
          </w:p>
        </w:tc>
        <w:tc>
          <w:tcPr>
            <w:tcW w:w="1965" w:type="dxa"/>
            <w:shd w:val="clear" w:color="auto" w:fill="auto"/>
            <w:tcMar>
              <w:top w:w="43" w:type="dxa"/>
              <w:left w:w="43" w:type="dxa"/>
              <w:bottom w:w="43" w:type="dxa"/>
              <w:right w:w="43" w:type="dxa"/>
            </w:tcMar>
            <w:vAlign w:val="center"/>
          </w:tcPr>
          <w:p w14:paraId="0000017A"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149.65 ± 66.88</w:t>
            </w:r>
          </w:p>
        </w:tc>
        <w:tc>
          <w:tcPr>
            <w:tcW w:w="2070" w:type="dxa"/>
            <w:shd w:val="clear" w:color="auto" w:fill="auto"/>
            <w:tcMar>
              <w:top w:w="43" w:type="dxa"/>
              <w:left w:w="43" w:type="dxa"/>
              <w:bottom w:w="43" w:type="dxa"/>
              <w:right w:w="43" w:type="dxa"/>
            </w:tcMar>
            <w:vAlign w:val="center"/>
          </w:tcPr>
          <w:p w14:paraId="0000017B"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150.59 ± 72.24</w:t>
            </w:r>
          </w:p>
        </w:tc>
      </w:tr>
      <w:tr w:rsidR="00D67D77" w14:paraId="07A8E797" w14:textId="77777777">
        <w:trPr>
          <w:trHeight w:val="288"/>
          <w:jc w:val="center"/>
        </w:trPr>
        <w:tc>
          <w:tcPr>
            <w:tcW w:w="2790" w:type="dxa"/>
            <w:shd w:val="clear" w:color="auto" w:fill="D9D9D9"/>
            <w:tcMar>
              <w:top w:w="99" w:type="dxa"/>
              <w:left w:w="99" w:type="dxa"/>
              <w:bottom w:w="99" w:type="dxa"/>
              <w:right w:w="99" w:type="dxa"/>
            </w:tcMar>
            <w:vAlign w:val="center"/>
          </w:tcPr>
          <w:p w14:paraId="0000017C" w14:textId="77777777" w:rsidR="00D67D77" w:rsidRDefault="00000000">
            <w:pPr>
              <w:spacing w:before="240"/>
              <w:ind w:left="140" w:right="140"/>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Dive parameter</w:t>
            </w:r>
          </w:p>
        </w:tc>
        <w:tc>
          <w:tcPr>
            <w:tcW w:w="2025" w:type="dxa"/>
            <w:shd w:val="clear" w:color="auto" w:fill="D9D9D9"/>
            <w:tcMar>
              <w:top w:w="43" w:type="dxa"/>
              <w:left w:w="43" w:type="dxa"/>
              <w:bottom w:w="43" w:type="dxa"/>
              <w:right w:w="43" w:type="dxa"/>
            </w:tcMar>
            <w:vAlign w:val="center"/>
          </w:tcPr>
          <w:p w14:paraId="0000017D" w14:textId="77777777" w:rsidR="00D67D77" w:rsidRDefault="00000000">
            <w:pPr>
              <w:spacing w:before="240"/>
              <w:ind w:left="140" w:right="1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2100" w:type="dxa"/>
            <w:shd w:val="clear" w:color="auto" w:fill="D9D9D9"/>
            <w:tcMar>
              <w:top w:w="43" w:type="dxa"/>
              <w:left w:w="43" w:type="dxa"/>
              <w:bottom w:w="43" w:type="dxa"/>
              <w:right w:w="43" w:type="dxa"/>
            </w:tcMar>
            <w:vAlign w:val="center"/>
          </w:tcPr>
          <w:p w14:paraId="0000017E" w14:textId="77777777" w:rsidR="00D67D77" w:rsidRDefault="00000000">
            <w:pPr>
              <w:spacing w:before="240"/>
              <w:ind w:left="140" w:right="1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1965" w:type="dxa"/>
            <w:shd w:val="clear" w:color="auto" w:fill="D9D9D9"/>
            <w:tcMar>
              <w:top w:w="43" w:type="dxa"/>
              <w:left w:w="43" w:type="dxa"/>
              <w:bottom w:w="43" w:type="dxa"/>
              <w:right w:w="43" w:type="dxa"/>
            </w:tcMar>
            <w:vAlign w:val="center"/>
          </w:tcPr>
          <w:p w14:paraId="0000017F" w14:textId="77777777" w:rsidR="00D67D77" w:rsidRDefault="00000000">
            <w:pPr>
              <w:spacing w:before="240"/>
              <w:ind w:left="140" w:right="1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2070" w:type="dxa"/>
            <w:shd w:val="clear" w:color="auto" w:fill="D9D9D9"/>
            <w:tcMar>
              <w:top w:w="43" w:type="dxa"/>
              <w:left w:w="43" w:type="dxa"/>
              <w:bottom w:w="43" w:type="dxa"/>
              <w:right w:w="43" w:type="dxa"/>
            </w:tcMar>
            <w:vAlign w:val="center"/>
          </w:tcPr>
          <w:p w14:paraId="00000180" w14:textId="77777777" w:rsidR="00D67D77" w:rsidRDefault="00000000">
            <w:pPr>
              <w:spacing w:before="240"/>
              <w:ind w:left="140" w:right="1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r>
      <w:tr w:rsidR="00D67D77" w14:paraId="75C93C08" w14:textId="77777777">
        <w:trPr>
          <w:trHeight w:val="288"/>
          <w:jc w:val="center"/>
        </w:trPr>
        <w:tc>
          <w:tcPr>
            <w:tcW w:w="2790" w:type="dxa"/>
            <w:shd w:val="clear" w:color="auto" w:fill="auto"/>
            <w:tcMar>
              <w:top w:w="99" w:type="dxa"/>
              <w:left w:w="99" w:type="dxa"/>
              <w:bottom w:w="99" w:type="dxa"/>
              <w:right w:w="99" w:type="dxa"/>
            </w:tcMar>
            <w:vAlign w:val="center"/>
          </w:tcPr>
          <w:p w14:paraId="00000181" w14:textId="77777777" w:rsidR="00D67D77" w:rsidRDefault="00000000">
            <w:pPr>
              <w:spacing w:before="240"/>
              <w:ind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N° of dives</w:t>
            </w:r>
          </w:p>
        </w:tc>
        <w:tc>
          <w:tcPr>
            <w:tcW w:w="2025" w:type="dxa"/>
            <w:shd w:val="clear" w:color="auto" w:fill="auto"/>
            <w:tcMar>
              <w:top w:w="43" w:type="dxa"/>
              <w:left w:w="43" w:type="dxa"/>
              <w:bottom w:w="43" w:type="dxa"/>
              <w:right w:w="43" w:type="dxa"/>
            </w:tcMar>
            <w:vAlign w:val="center"/>
          </w:tcPr>
          <w:p w14:paraId="00000182"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20342</w:t>
            </w:r>
          </w:p>
        </w:tc>
        <w:tc>
          <w:tcPr>
            <w:tcW w:w="2100" w:type="dxa"/>
            <w:shd w:val="clear" w:color="auto" w:fill="auto"/>
            <w:tcMar>
              <w:top w:w="43" w:type="dxa"/>
              <w:left w:w="43" w:type="dxa"/>
              <w:bottom w:w="43" w:type="dxa"/>
              <w:right w:w="43" w:type="dxa"/>
            </w:tcMar>
            <w:vAlign w:val="center"/>
          </w:tcPr>
          <w:p w14:paraId="00000183"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31625</w:t>
            </w:r>
          </w:p>
        </w:tc>
        <w:tc>
          <w:tcPr>
            <w:tcW w:w="1965" w:type="dxa"/>
            <w:shd w:val="clear" w:color="auto" w:fill="auto"/>
            <w:tcMar>
              <w:top w:w="43" w:type="dxa"/>
              <w:left w:w="43" w:type="dxa"/>
              <w:bottom w:w="43" w:type="dxa"/>
              <w:right w:w="43" w:type="dxa"/>
            </w:tcMar>
            <w:vAlign w:val="center"/>
          </w:tcPr>
          <w:p w14:paraId="00000184"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37119</w:t>
            </w:r>
          </w:p>
        </w:tc>
        <w:tc>
          <w:tcPr>
            <w:tcW w:w="2070" w:type="dxa"/>
            <w:shd w:val="clear" w:color="auto" w:fill="auto"/>
            <w:tcMar>
              <w:top w:w="43" w:type="dxa"/>
              <w:left w:w="43" w:type="dxa"/>
              <w:bottom w:w="43" w:type="dxa"/>
              <w:right w:w="43" w:type="dxa"/>
            </w:tcMar>
            <w:vAlign w:val="center"/>
          </w:tcPr>
          <w:p w14:paraId="00000185"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17396</w:t>
            </w:r>
          </w:p>
        </w:tc>
      </w:tr>
      <w:tr w:rsidR="00D67D77" w14:paraId="4410F73E" w14:textId="77777777">
        <w:trPr>
          <w:trHeight w:val="288"/>
          <w:jc w:val="center"/>
        </w:trPr>
        <w:tc>
          <w:tcPr>
            <w:tcW w:w="2790" w:type="dxa"/>
            <w:shd w:val="clear" w:color="auto" w:fill="auto"/>
            <w:tcMar>
              <w:top w:w="99" w:type="dxa"/>
              <w:left w:w="99" w:type="dxa"/>
              <w:bottom w:w="99" w:type="dxa"/>
              <w:right w:w="99" w:type="dxa"/>
            </w:tcMar>
            <w:vAlign w:val="center"/>
          </w:tcPr>
          <w:p w14:paraId="00000186" w14:textId="77777777" w:rsidR="00D67D77" w:rsidRDefault="00000000">
            <w:pPr>
              <w:spacing w:before="240"/>
              <w:ind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Dive duration (s)</w:t>
            </w:r>
          </w:p>
        </w:tc>
        <w:tc>
          <w:tcPr>
            <w:tcW w:w="2025" w:type="dxa"/>
            <w:shd w:val="clear" w:color="auto" w:fill="auto"/>
            <w:tcMar>
              <w:top w:w="43" w:type="dxa"/>
              <w:left w:w="43" w:type="dxa"/>
              <w:bottom w:w="43" w:type="dxa"/>
              <w:right w:w="43" w:type="dxa"/>
            </w:tcMar>
            <w:vAlign w:val="center"/>
          </w:tcPr>
          <w:p w14:paraId="00000187"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54.89 ± 6.13</w:t>
            </w:r>
          </w:p>
        </w:tc>
        <w:tc>
          <w:tcPr>
            <w:tcW w:w="2100" w:type="dxa"/>
            <w:shd w:val="clear" w:color="auto" w:fill="auto"/>
            <w:tcMar>
              <w:top w:w="43" w:type="dxa"/>
              <w:left w:w="43" w:type="dxa"/>
              <w:bottom w:w="43" w:type="dxa"/>
              <w:right w:w="43" w:type="dxa"/>
            </w:tcMar>
            <w:vAlign w:val="center"/>
          </w:tcPr>
          <w:p w14:paraId="00000188"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61.86 ± 7.23</w:t>
            </w:r>
          </w:p>
        </w:tc>
        <w:tc>
          <w:tcPr>
            <w:tcW w:w="1965" w:type="dxa"/>
            <w:shd w:val="clear" w:color="auto" w:fill="auto"/>
            <w:tcMar>
              <w:top w:w="43" w:type="dxa"/>
              <w:left w:w="43" w:type="dxa"/>
              <w:bottom w:w="43" w:type="dxa"/>
              <w:right w:w="43" w:type="dxa"/>
            </w:tcMar>
            <w:vAlign w:val="center"/>
          </w:tcPr>
          <w:p w14:paraId="00000189"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71.79 ± 7.73</w:t>
            </w:r>
          </w:p>
        </w:tc>
        <w:tc>
          <w:tcPr>
            <w:tcW w:w="2070" w:type="dxa"/>
            <w:shd w:val="clear" w:color="auto" w:fill="auto"/>
            <w:tcMar>
              <w:top w:w="43" w:type="dxa"/>
              <w:left w:w="43" w:type="dxa"/>
              <w:bottom w:w="43" w:type="dxa"/>
              <w:right w:w="43" w:type="dxa"/>
            </w:tcMar>
            <w:vAlign w:val="center"/>
          </w:tcPr>
          <w:p w14:paraId="0000018A"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63.26 ± 7.01</w:t>
            </w:r>
          </w:p>
        </w:tc>
      </w:tr>
      <w:tr w:rsidR="00D67D77" w14:paraId="59E9D492" w14:textId="77777777">
        <w:trPr>
          <w:trHeight w:val="288"/>
          <w:jc w:val="center"/>
        </w:trPr>
        <w:tc>
          <w:tcPr>
            <w:tcW w:w="2790" w:type="dxa"/>
            <w:shd w:val="clear" w:color="auto" w:fill="auto"/>
            <w:tcMar>
              <w:top w:w="99" w:type="dxa"/>
              <w:left w:w="99" w:type="dxa"/>
              <w:bottom w:w="99" w:type="dxa"/>
              <w:right w:w="99" w:type="dxa"/>
            </w:tcMar>
            <w:vAlign w:val="center"/>
          </w:tcPr>
          <w:p w14:paraId="0000018B" w14:textId="77777777" w:rsidR="00D67D77" w:rsidRDefault="00000000">
            <w:pPr>
              <w:spacing w:before="240"/>
              <w:ind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Depth (m) </w:t>
            </w:r>
          </w:p>
        </w:tc>
        <w:tc>
          <w:tcPr>
            <w:tcW w:w="2025" w:type="dxa"/>
            <w:shd w:val="clear" w:color="auto" w:fill="auto"/>
            <w:tcMar>
              <w:top w:w="43" w:type="dxa"/>
              <w:left w:w="43" w:type="dxa"/>
              <w:bottom w:w="43" w:type="dxa"/>
              <w:right w:w="43" w:type="dxa"/>
            </w:tcMar>
            <w:vAlign w:val="center"/>
          </w:tcPr>
          <w:p w14:paraId="0000018C"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18.84 ± 5.28</w:t>
            </w:r>
          </w:p>
        </w:tc>
        <w:tc>
          <w:tcPr>
            <w:tcW w:w="2100" w:type="dxa"/>
            <w:shd w:val="clear" w:color="auto" w:fill="auto"/>
            <w:tcMar>
              <w:top w:w="43" w:type="dxa"/>
              <w:left w:w="43" w:type="dxa"/>
              <w:bottom w:w="43" w:type="dxa"/>
              <w:right w:w="43" w:type="dxa"/>
            </w:tcMar>
            <w:vAlign w:val="center"/>
          </w:tcPr>
          <w:p w14:paraId="0000018D"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21.50 ± 6.66</w:t>
            </w:r>
          </w:p>
        </w:tc>
        <w:tc>
          <w:tcPr>
            <w:tcW w:w="1965" w:type="dxa"/>
            <w:shd w:val="clear" w:color="auto" w:fill="auto"/>
            <w:tcMar>
              <w:top w:w="43" w:type="dxa"/>
              <w:left w:w="43" w:type="dxa"/>
              <w:bottom w:w="43" w:type="dxa"/>
              <w:right w:w="43" w:type="dxa"/>
            </w:tcMar>
            <w:vAlign w:val="center"/>
          </w:tcPr>
          <w:p w14:paraId="0000018E"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25.03 ± 6.42</w:t>
            </w:r>
          </w:p>
        </w:tc>
        <w:tc>
          <w:tcPr>
            <w:tcW w:w="2070" w:type="dxa"/>
            <w:shd w:val="clear" w:color="auto" w:fill="auto"/>
            <w:tcMar>
              <w:top w:w="43" w:type="dxa"/>
              <w:left w:w="43" w:type="dxa"/>
              <w:bottom w:w="43" w:type="dxa"/>
              <w:right w:w="43" w:type="dxa"/>
            </w:tcMar>
            <w:vAlign w:val="center"/>
          </w:tcPr>
          <w:p w14:paraId="0000018F"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21.45 ± 6.03</w:t>
            </w:r>
          </w:p>
        </w:tc>
      </w:tr>
      <w:tr w:rsidR="00D67D77" w14:paraId="7A8CD714" w14:textId="77777777">
        <w:trPr>
          <w:trHeight w:val="288"/>
          <w:jc w:val="center"/>
        </w:trPr>
        <w:tc>
          <w:tcPr>
            <w:tcW w:w="2790" w:type="dxa"/>
            <w:shd w:val="clear" w:color="auto" w:fill="auto"/>
            <w:tcMar>
              <w:top w:w="99" w:type="dxa"/>
              <w:left w:w="99" w:type="dxa"/>
              <w:bottom w:w="99" w:type="dxa"/>
              <w:right w:w="99" w:type="dxa"/>
            </w:tcMar>
            <w:vAlign w:val="center"/>
          </w:tcPr>
          <w:p w14:paraId="00000190" w14:textId="77777777" w:rsidR="00D67D77" w:rsidRDefault="00000000">
            <w:pPr>
              <w:spacing w:before="240"/>
              <w:ind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Bottom time (s)</w:t>
            </w:r>
          </w:p>
        </w:tc>
        <w:tc>
          <w:tcPr>
            <w:tcW w:w="2025" w:type="dxa"/>
            <w:shd w:val="clear" w:color="auto" w:fill="auto"/>
            <w:tcMar>
              <w:top w:w="43" w:type="dxa"/>
              <w:left w:w="43" w:type="dxa"/>
              <w:bottom w:w="43" w:type="dxa"/>
              <w:right w:w="43" w:type="dxa"/>
            </w:tcMar>
            <w:vAlign w:val="center"/>
          </w:tcPr>
          <w:p w14:paraId="00000191"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28.36 ± 3.10</w:t>
            </w:r>
          </w:p>
        </w:tc>
        <w:tc>
          <w:tcPr>
            <w:tcW w:w="2100" w:type="dxa"/>
            <w:shd w:val="clear" w:color="auto" w:fill="auto"/>
            <w:tcMar>
              <w:top w:w="43" w:type="dxa"/>
              <w:left w:w="43" w:type="dxa"/>
              <w:bottom w:w="43" w:type="dxa"/>
              <w:right w:w="43" w:type="dxa"/>
            </w:tcMar>
            <w:vAlign w:val="center"/>
          </w:tcPr>
          <w:p w14:paraId="00000192"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33.20 ± 2.99</w:t>
            </w:r>
          </w:p>
        </w:tc>
        <w:tc>
          <w:tcPr>
            <w:tcW w:w="1965" w:type="dxa"/>
            <w:shd w:val="clear" w:color="auto" w:fill="auto"/>
            <w:tcMar>
              <w:top w:w="43" w:type="dxa"/>
              <w:left w:w="43" w:type="dxa"/>
              <w:bottom w:w="43" w:type="dxa"/>
              <w:right w:w="43" w:type="dxa"/>
            </w:tcMar>
            <w:vAlign w:val="center"/>
          </w:tcPr>
          <w:p w14:paraId="00000193"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36.50 ± 3.16</w:t>
            </w:r>
          </w:p>
        </w:tc>
        <w:tc>
          <w:tcPr>
            <w:tcW w:w="2070" w:type="dxa"/>
            <w:shd w:val="clear" w:color="auto" w:fill="auto"/>
            <w:tcMar>
              <w:top w:w="43" w:type="dxa"/>
              <w:left w:w="43" w:type="dxa"/>
              <w:bottom w:w="43" w:type="dxa"/>
              <w:right w:w="43" w:type="dxa"/>
            </w:tcMar>
            <w:vAlign w:val="center"/>
          </w:tcPr>
          <w:p w14:paraId="00000194"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34.91 ± 4.21</w:t>
            </w:r>
          </w:p>
        </w:tc>
      </w:tr>
      <w:tr w:rsidR="00D67D77" w14:paraId="082405A4" w14:textId="77777777">
        <w:trPr>
          <w:trHeight w:val="288"/>
          <w:jc w:val="center"/>
        </w:trPr>
        <w:tc>
          <w:tcPr>
            <w:tcW w:w="2790" w:type="dxa"/>
            <w:shd w:val="clear" w:color="auto" w:fill="auto"/>
            <w:tcMar>
              <w:top w:w="99" w:type="dxa"/>
              <w:left w:w="99" w:type="dxa"/>
              <w:bottom w:w="99" w:type="dxa"/>
              <w:right w:w="99" w:type="dxa"/>
            </w:tcMar>
            <w:vAlign w:val="center"/>
          </w:tcPr>
          <w:p w14:paraId="00000195" w14:textId="77777777" w:rsidR="00D67D77" w:rsidRDefault="00000000">
            <w:pPr>
              <w:spacing w:before="240"/>
              <w:ind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N° of wiggles</w:t>
            </w:r>
          </w:p>
        </w:tc>
        <w:tc>
          <w:tcPr>
            <w:tcW w:w="2025" w:type="dxa"/>
            <w:shd w:val="clear" w:color="auto" w:fill="auto"/>
            <w:tcMar>
              <w:top w:w="43" w:type="dxa"/>
              <w:left w:w="43" w:type="dxa"/>
              <w:bottom w:w="43" w:type="dxa"/>
              <w:right w:w="43" w:type="dxa"/>
            </w:tcMar>
            <w:vAlign w:val="center"/>
          </w:tcPr>
          <w:p w14:paraId="00000196"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4.67 ± 0.58</w:t>
            </w:r>
          </w:p>
        </w:tc>
        <w:tc>
          <w:tcPr>
            <w:tcW w:w="2100" w:type="dxa"/>
            <w:shd w:val="clear" w:color="auto" w:fill="auto"/>
            <w:tcMar>
              <w:top w:w="43" w:type="dxa"/>
              <w:left w:w="43" w:type="dxa"/>
              <w:bottom w:w="43" w:type="dxa"/>
              <w:right w:w="43" w:type="dxa"/>
            </w:tcMar>
            <w:vAlign w:val="center"/>
          </w:tcPr>
          <w:p w14:paraId="00000197"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5.10 ± 0.59</w:t>
            </w:r>
          </w:p>
        </w:tc>
        <w:tc>
          <w:tcPr>
            <w:tcW w:w="1965" w:type="dxa"/>
            <w:shd w:val="clear" w:color="auto" w:fill="auto"/>
            <w:tcMar>
              <w:top w:w="43" w:type="dxa"/>
              <w:left w:w="43" w:type="dxa"/>
              <w:bottom w:w="43" w:type="dxa"/>
              <w:right w:w="43" w:type="dxa"/>
            </w:tcMar>
            <w:vAlign w:val="center"/>
          </w:tcPr>
          <w:p w14:paraId="00000198"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5.47 ± 0.67</w:t>
            </w:r>
          </w:p>
        </w:tc>
        <w:tc>
          <w:tcPr>
            <w:tcW w:w="2070" w:type="dxa"/>
            <w:shd w:val="clear" w:color="auto" w:fill="auto"/>
            <w:tcMar>
              <w:top w:w="43" w:type="dxa"/>
              <w:left w:w="43" w:type="dxa"/>
              <w:bottom w:w="43" w:type="dxa"/>
              <w:right w:w="43" w:type="dxa"/>
            </w:tcMar>
            <w:vAlign w:val="center"/>
          </w:tcPr>
          <w:p w14:paraId="00000199"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5.25 ± 0.94</w:t>
            </w:r>
          </w:p>
        </w:tc>
      </w:tr>
      <w:tr w:rsidR="00D67D77" w14:paraId="68F9234A" w14:textId="77777777">
        <w:trPr>
          <w:trHeight w:val="288"/>
          <w:jc w:val="center"/>
        </w:trPr>
        <w:tc>
          <w:tcPr>
            <w:tcW w:w="2790" w:type="dxa"/>
            <w:shd w:val="clear" w:color="auto" w:fill="auto"/>
            <w:tcMar>
              <w:top w:w="99" w:type="dxa"/>
              <w:left w:w="99" w:type="dxa"/>
              <w:bottom w:w="99" w:type="dxa"/>
              <w:right w:w="99" w:type="dxa"/>
            </w:tcMar>
            <w:vAlign w:val="center"/>
          </w:tcPr>
          <w:p w14:paraId="0000019A" w14:textId="77777777" w:rsidR="00D67D77" w:rsidRDefault="00000000">
            <w:pPr>
              <w:spacing w:before="240"/>
              <w:ind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Proportion of bottom time</w:t>
            </w:r>
          </w:p>
        </w:tc>
        <w:tc>
          <w:tcPr>
            <w:tcW w:w="2025" w:type="dxa"/>
            <w:shd w:val="clear" w:color="auto" w:fill="auto"/>
            <w:tcMar>
              <w:top w:w="43" w:type="dxa"/>
              <w:left w:w="43" w:type="dxa"/>
              <w:bottom w:w="43" w:type="dxa"/>
              <w:right w:w="43" w:type="dxa"/>
            </w:tcMar>
            <w:vAlign w:val="center"/>
          </w:tcPr>
          <w:p w14:paraId="0000019B"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0.52 ± 0.07</w:t>
            </w:r>
          </w:p>
        </w:tc>
        <w:tc>
          <w:tcPr>
            <w:tcW w:w="2100" w:type="dxa"/>
            <w:shd w:val="clear" w:color="auto" w:fill="auto"/>
            <w:tcMar>
              <w:top w:w="43" w:type="dxa"/>
              <w:left w:w="43" w:type="dxa"/>
              <w:bottom w:w="43" w:type="dxa"/>
              <w:right w:w="43" w:type="dxa"/>
            </w:tcMar>
            <w:vAlign w:val="center"/>
          </w:tcPr>
          <w:p w14:paraId="0000019C"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0.55 ± 0.08</w:t>
            </w:r>
          </w:p>
        </w:tc>
        <w:tc>
          <w:tcPr>
            <w:tcW w:w="1965" w:type="dxa"/>
            <w:shd w:val="clear" w:color="auto" w:fill="auto"/>
            <w:tcMar>
              <w:top w:w="43" w:type="dxa"/>
              <w:left w:w="43" w:type="dxa"/>
              <w:bottom w:w="43" w:type="dxa"/>
              <w:right w:w="43" w:type="dxa"/>
            </w:tcMar>
            <w:vAlign w:val="center"/>
          </w:tcPr>
          <w:p w14:paraId="0000019D"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0.52 ± 0.07</w:t>
            </w:r>
          </w:p>
        </w:tc>
        <w:tc>
          <w:tcPr>
            <w:tcW w:w="2070" w:type="dxa"/>
            <w:shd w:val="clear" w:color="auto" w:fill="auto"/>
            <w:tcMar>
              <w:top w:w="43" w:type="dxa"/>
              <w:left w:w="43" w:type="dxa"/>
              <w:bottom w:w="43" w:type="dxa"/>
              <w:right w:w="43" w:type="dxa"/>
            </w:tcMar>
            <w:vAlign w:val="center"/>
          </w:tcPr>
          <w:p w14:paraId="0000019E"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0.56 ± 0.04</w:t>
            </w:r>
          </w:p>
        </w:tc>
      </w:tr>
      <w:tr w:rsidR="00D67D77" w14:paraId="38CBCF5C" w14:textId="77777777">
        <w:trPr>
          <w:trHeight w:val="288"/>
          <w:jc w:val="center"/>
        </w:trPr>
        <w:tc>
          <w:tcPr>
            <w:tcW w:w="2790" w:type="dxa"/>
            <w:shd w:val="clear" w:color="auto" w:fill="auto"/>
            <w:tcMar>
              <w:top w:w="99" w:type="dxa"/>
              <w:left w:w="99" w:type="dxa"/>
              <w:bottom w:w="99" w:type="dxa"/>
              <w:right w:w="99" w:type="dxa"/>
            </w:tcMar>
            <w:vAlign w:val="center"/>
          </w:tcPr>
          <w:p w14:paraId="0000019F" w14:textId="77777777" w:rsidR="00D67D77" w:rsidRDefault="00000000">
            <w:pPr>
              <w:spacing w:before="240"/>
              <w:ind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Dive frequency*</w:t>
            </w:r>
          </w:p>
        </w:tc>
        <w:tc>
          <w:tcPr>
            <w:tcW w:w="2025" w:type="dxa"/>
            <w:shd w:val="clear" w:color="auto" w:fill="auto"/>
            <w:tcMar>
              <w:top w:w="43" w:type="dxa"/>
              <w:left w:w="43" w:type="dxa"/>
              <w:bottom w:w="43" w:type="dxa"/>
              <w:right w:w="43" w:type="dxa"/>
            </w:tcMar>
            <w:vAlign w:val="center"/>
          </w:tcPr>
          <w:p w14:paraId="000001A0"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35.90 ± 9.34</w:t>
            </w:r>
          </w:p>
        </w:tc>
        <w:tc>
          <w:tcPr>
            <w:tcW w:w="2100" w:type="dxa"/>
            <w:shd w:val="clear" w:color="auto" w:fill="auto"/>
            <w:tcMar>
              <w:top w:w="43" w:type="dxa"/>
              <w:left w:w="43" w:type="dxa"/>
              <w:bottom w:w="43" w:type="dxa"/>
              <w:right w:w="43" w:type="dxa"/>
            </w:tcMar>
            <w:vAlign w:val="center"/>
          </w:tcPr>
          <w:p w14:paraId="000001A1"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34.06 ± 10.74</w:t>
            </w:r>
          </w:p>
        </w:tc>
        <w:tc>
          <w:tcPr>
            <w:tcW w:w="1965" w:type="dxa"/>
            <w:shd w:val="clear" w:color="auto" w:fill="auto"/>
            <w:tcMar>
              <w:top w:w="43" w:type="dxa"/>
              <w:left w:w="43" w:type="dxa"/>
              <w:bottom w:w="43" w:type="dxa"/>
              <w:right w:w="43" w:type="dxa"/>
            </w:tcMar>
            <w:vAlign w:val="center"/>
          </w:tcPr>
          <w:p w14:paraId="000001A2"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30.58 ± 9.63</w:t>
            </w:r>
          </w:p>
        </w:tc>
        <w:tc>
          <w:tcPr>
            <w:tcW w:w="2070" w:type="dxa"/>
            <w:shd w:val="clear" w:color="auto" w:fill="auto"/>
            <w:tcMar>
              <w:top w:w="43" w:type="dxa"/>
              <w:left w:w="43" w:type="dxa"/>
              <w:bottom w:w="43" w:type="dxa"/>
              <w:right w:w="43" w:type="dxa"/>
            </w:tcMar>
            <w:vAlign w:val="center"/>
          </w:tcPr>
          <w:p w14:paraId="000001A3"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29.16 ± 10.16</w:t>
            </w:r>
          </w:p>
        </w:tc>
      </w:tr>
      <w:tr w:rsidR="00D67D77" w14:paraId="7DDED176" w14:textId="77777777">
        <w:trPr>
          <w:trHeight w:val="288"/>
          <w:jc w:val="center"/>
        </w:trPr>
        <w:tc>
          <w:tcPr>
            <w:tcW w:w="2790" w:type="dxa"/>
            <w:tcBorders>
              <w:bottom w:val="single" w:sz="4" w:space="0" w:color="000000"/>
            </w:tcBorders>
            <w:shd w:val="clear" w:color="auto" w:fill="auto"/>
            <w:tcMar>
              <w:top w:w="99" w:type="dxa"/>
              <w:left w:w="99" w:type="dxa"/>
              <w:bottom w:w="99" w:type="dxa"/>
              <w:right w:w="99" w:type="dxa"/>
            </w:tcMar>
            <w:vAlign w:val="center"/>
          </w:tcPr>
          <w:p w14:paraId="000001A4" w14:textId="77777777" w:rsidR="00D67D77" w:rsidRDefault="00000000">
            <w:pPr>
              <w:spacing w:before="240"/>
              <w:ind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Proportion of dives </w:t>
            </w:r>
          </w:p>
        </w:tc>
        <w:tc>
          <w:tcPr>
            <w:tcW w:w="2025" w:type="dxa"/>
            <w:tcBorders>
              <w:bottom w:val="single" w:sz="4" w:space="0" w:color="000000"/>
            </w:tcBorders>
            <w:shd w:val="clear" w:color="auto" w:fill="auto"/>
            <w:tcMar>
              <w:top w:w="43" w:type="dxa"/>
              <w:left w:w="43" w:type="dxa"/>
              <w:bottom w:w="43" w:type="dxa"/>
              <w:right w:w="43" w:type="dxa"/>
            </w:tcMar>
            <w:vAlign w:val="center"/>
          </w:tcPr>
          <w:p w14:paraId="000001A5"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0.53 ± 0.09</w:t>
            </w:r>
          </w:p>
        </w:tc>
        <w:tc>
          <w:tcPr>
            <w:tcW w:w="2100" w:type="dxa"/>
            <w:tcBorders>
              <w:bottom w:val="single" w:sz="4" w:space="0" w:color="000000"/>
            </w:tcBorders>
            <w:shd w:val="clear" w:color="auto" w:fill="auto"/>
            <w:tcMar>
              <w:top w:w="43" w:type="dxa"/>
              <w:left w:w="43" w:type="dxa"/>
              <w:bottom w:w="43" w:type="dxa"/>
              <w:right w:w="43" w:type="dxa"/>
            </w:tcMar>
            <w:vAlign w:val="center"/>
          </w:tcPr>
          <w:p w14:paraId="000001A6"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0.55 ± 0.12</w:t>
            </w:r>
          </w:p>
        </w:tc>
        <w:tc>
          <w:tcPr>
            <w:tcW w:w="1965" w:type="dxa"/>
            <w:tcBorders>
              <w:bottom w:val="single" w:sz="4" w:space="0" w:color="000000"/>
            </w:tcBorders>
            <w:shd w:val="clear" w:color="auto" w:fill="auto"/>
            <w:tcMar>
              <w:top w:w="43" w:type="dxa"/>
              <w:left w:w="43" w:type="dxa"/>
              <w:bottom w:w="43" w:type="dxa"/>
              <w:right w:w="43" w:type="dxa"/>
            </w:tcMar>
            <w:vAlign w:val="center"/>
          </w:tcPr>
          <w:p w14:paraId="000001A7"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0.58 ± 0.14</w:t>
            </w:r>
          </w:p>
        </w:tc>
        <w:tc>
          <w:tcPr>
            <w:tcW w:w="2070" w:type="dxa"/>
            <w:tcBorders>
              <w:bottom w:val="single" w:sz="4" w:space="0" w:color="000000"/>
            </w:tcBorders>
            <w:shd w:val="clear" w:color="auto" w:fill="auto"/>
            <w:tcMar>
              <w:top w:w="43" w:type="dxa"/>
              <w:left w:w="43" w:type="dxa"/>
              <w:bottom w:w="43" w:type="dxa"/>
              <w:right w:w="43" w:type="dxa"/>
            </w:tcMar>
            <w:vAlign w:val="center"/>
          </w:tcPr>
          <w:p w14:paraId="000001A8"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0.49 ± 0.15</w:t>
            </w:r>
          </w:p>
        </w:tc>
      </w:tr>
      <w:tr w:rsidR="00D67D77" w14:paraId="6816A249" w14:textId="77777777">
        <w:trPr>
          <w:trHeight w:val="288"/>
          <w:jc w:val="center"/>
        </w:trPr>
        <w:tc>
          <w:tcPr>
            <w:tcW w:w="2790" w:type="dxa"/>
            <w:tcBorders>
              <w:top w:val="single" w:sz="4" w:space="0" w:color="000000"/>
              <w:bottom w:val="single" w:sz="4" w:space="0" w:color="000000"/>
            </w:tcBorders>
            <w:shd w:val="clear" w:color="auto" w:fill="auto"/>
            <w:tcMar>
              <w:top w:w="99" w:type="dxa"/>
              <w:left w:w="99" w:type="dxa"/>
              <w:bottom w:w="99" w:type="dxa"/>
              <w:right w:w="99" w:type="dxa"/>
            </w:tcMar>
            <w:vAlign w:val="center"/>
          </w:tcPr>
          <w:p w14:paraId="000001A9" w14:textId="77777777" w:rsidR="00D67D77" w:rsidRDefault="00000000">
            <w:pPr>
              <w:spacing w:before="240"/>
              <w:ind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Dive efficiency</w:t>
            </w:r>
          </w:p>
        </w:tc>
        <w:tc>
          <w:tcPr>
            <w:tcW w:w="2025" w:type="dxa"/>
            <w:tcBorders>
              <w:top w:val="single" w:sz="4" w:space="0" w:color="000000"/>
              <w:bottom w:val="single" w:sz="4" w:space="0" w:color="000000"/>
            </w:tcBorders>
            <w:shd w:val="clear" w:color="auto" w:fill="auto"/>
            <w:tcMar>
              <w:top w:w="43" w:type="dxa"/>
              <w:left w:w="43" w:type="dxa"/>
              <w:bottom w:w="43" w:type="dxa"/>
              <w:right w:w="43" w:type="dxa"/>
            </w:tcMar>
            <w:vAlign w:val="center"/>
          </w:tcPr>
          <w:p w14:paraId="000001AA" w14:textId="77777777" w:rsidR="00D67D77" w:rsidRDefault="00000000">
            <w:pPr>
              <w:pBdr>
                <w:top w:val="nil"/>
                <w:left w:val="nil"/>
                <w:bottom w:val="nil"/>
                <w:right w:val="nil"/>
                <w:between w:val="nil"/>
              </w:pBd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0.27 ± 0.06</w:t>
            </w:r>
          </w:p>
        </w:tc>
        <w:tc>
          <w:tcPr>
            <w:tcW w:w="2100" w:type="dxa"/>
            <w:tcBorders>
              <w:top w:val="single" w:sz="4" w:space="0" w:color="000000"/>
              <w:bottom w:val="single" w:sz="4" w:space="0" w:color="000000"/>
            </w:tcBorders>
            <w:shd w:val="clear" w:color="auto" w:fill="auto"/>
            <w:tcMar>
              <w:top w:w="43" w:type="dxa"/>
              <w:left w:w="43" w:type="dxa"/>
              <w:bottom w:w="43" w:type="dxa"/>
              <w:right w:w="43" w:type="dxa"/>
            </w:tcMar>
            <w:vAlign w:val="center"/>
          </w:tcPr>
          <w:p w14:paraId="000001AB"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0.30 ± 0.08</w:t>
            </w:r>
          </w:p>
        </w:tc>
        <w:tc>
          <w:tcPr>
            <w:tcW w:w="1965" w:type="dxa"/>
            <w:tcBorders>
              <w:top w:val="single" w:sz="4" w:space="0" w:color="000000"/>
              <w:bottom w:val="single" w:sz="4" w:space="0" w:color="000000"/>
            </w:tcBorders>
            <w:shd w:val="clear" w:color="auto" w:fill="auto"/>
            <w:tcMar>
              <w:top w:w="43" w:type="dxa"/>
              <w:left w:w="43" w:type="dxa"/>
              <w:bottom w:w="43" w:type="dxa"/>
              <w:right w:w="43" w:type="dxa"/>
            </w:tcMar>
            <w:vAlign w:val="center"/>
          </w:tcPr>
          <w:p w14:paraId="000001AC"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0.30 ± 0.09</w:t>
            </w:r>
          </w:p>
        </w:tc>
        <w:tc>
          <w:tcPr>
            <w:tcW w:w="2070" w:type="dxa"/>
            <w:tcBorders>
              <w:top w:val="single" w:sz="4" w:space="0" w:color="000000"/>
              <w:bottom w:val="single" w:sz="4" w:space="0" w:color="000000"/>
            </w:tcBorders>
            <w:shd w:val="clear" w:color="auto" w:fill="auto"/>
            <w:tcMar>
              <w:top w:w="43" w:type="dxa"/>
              <w:left w:w="43" w:type="dxa"/>
              <w:bottom w:w="43" w:type="dxa"/>
              <w:right w:w="43" w:type="dxa"/>
            </w:tcMar>
            <w:vAlign w:val="center"/>
          </w:tcPr>
          <w:p w14:paraId="000001AD"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0.28 ± 0.09</w:t>
            </w:r>
          </w:p>
        </w:tc>
      </w:tr>
    </w:tbl>
    <w:p w14:paraId="000001AE" w14:textId="77777777" w:rsidR="00D67D77" w:rsidRDefault="00D67D77">
      <w:pPr>
        <w:spacing w:line="360" w:lineRule="auto"/>
        <w:jc w:val="both"/>
        <w:rPr>
          <w:rFonts w:ascii="Times New Roman" w:eastAsia="Times New Roman" w:hAnsi="Times New Roman" w:cs="Times New Roman"/>
          <w:sz w:val="20"/>
          <w:szCs w:val="20"/>
        </w:rPr>
      </w:pPr>
    </w:p>
    <w:p w14:paraId="000001AF" w14:textId="77777777" w:rsidR="00D67D77" w:rsidRDefault="00D67D77">
      <w:pPr>
        <w:spacing w:line="360" w:lineRule="auto"/>
        <w:jc w:val="both"/>
        <w:rPr>
          <w:rFonts w:ascii="Times New Roman" w:eastAsia="Times New Roman" w:hAnsi="Times New Roman" w:cs="Times New Roman"/>
          <w:sz w:val="20"/>
          <w:szCs w:val="20"/>
        </w:rPr>
      </w:pPr>
    </w:p>
    <w:p w14:paraId="000001B0" w14:textId="77777777" w:rsidR="00D67D77"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Table 2.</w:t>
      </w:r>
      <w:r>
        <w:rPr>
          <w:rFonts w:ascii="Times New Roman" w:eastAsia="Times New Roman" w:hAnsi="Times New Roman" w:cs="Times New Roman"/>
          <w:sz w:val="20"/>
          <w:szCs w:val="20"/>
        </w:rPr>
        <w:t xml:space="preserve"> Foraging dives characteristics (mean ± SD) of Adélie penguins breeding in Ardley Island during early and late guard between 2019 and 2022.The (*) indicates that there are significant differences between early and late guard. Significant differences between sampling seasons within the same guard period are shown in bold.</w:t>
      </w:r>
    </w:p>
    <w:tbl>
      <w:tblPr>
        <w:tblStyle w:val="a0"/>
        <w:tblW w:w="10305" w:type="dxa"/>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30"/>
        <w:gridCol w:w="1995"/>
        <w:gridCol w:w="2055"/>
        <w:gridCol w:w="2145"/>
        <w:gridCol w:w="1980"/>
      </w:tblGrid>
      <w:tr w:rsidR="00D67D77" w14:paraId="475CC5A0" w14:textId="77777777">
        <w:trPr>
          <w:trHeight w:val="470"/>
        </w:trPr>
        <w:tc>
          <w:tcPr>
            <w:tcW w:w="2130" w:type="dxa"/>
            <w:tcBorders>
              <w:top w:val="single" w:sz="4" w:space="0" w:color="000000"/>
              <w:bottom w:val="single" w:sz="4" w:space="0" w:color="000000"/>
            </w:tcBorders>
            <w:tcMar>
              <w:top w:w="100" w:type="dxa"/>
              <w:left w:w="100" w:type="dxa"/>
              <w:bottom w:w="100" w:type="dxa"/>
              <w:right w:w="100" w:type="dxa"/>
            </w:tcMar>
          </w:tcPr>
          <w:p w14:paraId="000001B1" w14:textId="77777777" w:rsidR="00D67D77" w:rsidRDefault="00000000">
            <w:pPr>
              <w:spacing w:before="240"/>
              <w:ind w:left="140" w:right="14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4050" w:type="dxa"/>
            <w:gridSpan w:val="2"/>
            <w:tcBorders>
              <w:top w:val="single" w:sz="4" w:space="0" w:color="000000"/>
              <w:bottom w:val="single" w:sz="4" w:space="0" w:color="000000"/>
            </w:tcBorders>
            <w:tcMar>
              <w:top w:w="100" w:type="dxa"/>
              <w:left w:w="100" w:type="dxa"/>
              <w:bottom w:w="100" w:type="dxa"/>
              <w:right w:w="100" w:type="dxa"/>
            </w:tcMar>
          </w:tcPr>
          <w:p w14:paraId="000001B2" w14:textId="77777777" w:rsidR="00D67D77" w:rsidRDefault="00000000">
            <w:pPr>
              <w:spacing w:before="240"/>
              <w:ind w:left="140" w:right="1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Early Guard</w:t>
            </w:r>
          </w:p>
        </w:tc>
        <w:tc>
          <w:tcPr>
            <w:tcW w:w="4125" w:type="dxa"/>
            <w:gridSpan w:val="2"/>
            <w:tcBorders>
              <w:top w:val="single" w:sz="4" w:space="0" w:color="000000"/>
              <w:bottom w:val="single" w:sz="4" w:space="0" w:color="000000"/>
            </w:tcBorders>
            <w:shd w:val="clear" w:color="auto" w:fill="auto"/>
            <w:tcMar>
              <w:top w:w="100" w:type="dxa"/>
              <w:left w:w="100" w:type="dxa"/>
              <w:bottom w:w="100" w:type="dxa"/>
              <w:right w:w="100" w:type="dxa"/>
            </w:tcMar>
          </w:tcPr>
          <w:p w14:paraId="000001B4" w14:textId="77777777" w:rsidR="00D67D77" w:rsidRDefault="00000000">
            <w:pPr>
              <w:spacing w:before="240"/>
              <w:ind w:left="140" w:right="1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Late Guard</w:t>
            </w:r>
          </w:p>
        </w:tc>
      </w:tr>
      <w:tr w:rsidR="00D67D77" w14:paraId="4D1675AC" w14:textId="77777777">
        <w:trPr>
          <w:trHeight w:val="485"/>
        </w:trPr>
        <w:tc>
          <w:tcPr>
            <w:tcW w:w="2130" w:type="dxa"/>
            <w:tcBorders>
              <w:top w:val="single" w:sz="4" w:space="0" w:color="000000"/>
            </w:tcBorders>
            <w:shd w:val="clear" w:color="auto" w:fill="auto"/>
            <w:tcMar>
              <w:top w:w="100" w:type="dxa"/>
              <w:left w:w="100" w:type="dxa"/>
              <w:bottom w:w="100" w:type="dxa"/>
              <w:right w:w="100" w:type="dxa"/>
            </w:tcMar>
          </w:tcPr>
          <w:p w14:paraId="000001B6"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Season</w:t>
            </w:r>
          </w:p>
        </w:tc>
        <w:tc>
          <w:tcPr>
            <w:tcW w:w="1995" w:type="dxa"/>
            <w:tcBorders>
              <w:top w:val="single" w:sz="4" w:space="0" w:color="000000"/>
            </w:tcBorders>
            <w:shd w:val="clear" w:color="auto" w:fill="auto"/>
            <w:tcMar>
              <w:top w:w="43" w:type="dxa"/>
              <w:left w:w="43" w:type="dxa"/>
              <w:bottom w:w="43" w:type="dxa"/>
              <w:right w:w="43" w:type="dxa"/>
            </w:tcMar>
          </w:tcPr>
          <w:p w14:paraId="000001B7"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2019/2020</w:t>
            </w:r>
          </w:p>
        </w:tc>
        <w:tc>
          <w:tcPr>
            <w:tcW w:w="2055" w:type="dxa"/>
            <w:tcBorders>
              <w:top w:val="single" w:sz="4" w:space="0" w:color="000000"/>
            </w:tcBorders>
            <w:shd w:val="clear" w:color="auto" w:fill="auto"/>
            <w:tcMar>
              <w:top w:w="43" w:type="dxa"/>
              <w:left w:w="43" w:type="dxa"/>
              <w:bottom w:w="43" w:type="dxa"/>
              <w:right w:w="43" w:type="dxa"/>
            </w:tcMar>
          </w:tcPr>
          <w:p w14:paraId="000001B8"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2021/2022</w:t>
            </w:r>
          </w:p>
        </w:tc>
        <w:tc>
          <w:tcPr>
            <w:tcW w:w="2145" w:type="dxa"/>
            <w:tcBorders>
              <w:top w:val="single" w:sz="4" w:space="0" w:color="000000"/>
            </w:tcBorders>
            <w:shd w:val="clear" w:color="auto" w:fill="auto"/>
            <w:tcMar>
              <w:top w:w="43" w:type="dxa"/>
              <w:left w:w="43" w:type="dxa"/>
              <w:bottom w:w="43" w:type="dxa"/>
              <w:right w:w="43" w:type="dxa"/>
            </w:tcMar>
          </w:tcPr>
          <w:p w14:paraId="000001B9"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2020/2021</w:t>
            </w:r>
          </w:p>
        </w:tc>
        <w:tc>
          <w:tcPr>
            <w:tcW w:w="1980" w:type="dxa"/>
            <w:tcBorders>
              <w:top w:val="single" w:sz="4" w:space="0" w:color="000000"/>
            </w:tcBorders>
            <w:shd w:val="clear" w:color="auto" w:fill="auto"/>
            <w:tcMar>
              <w:top w:w="43" w:type="dxa"/>
              <w:left w:w="43" w:type="dxa"/>
              <w:bottom w:w="43" w:type="dxa"/>
              <w:right w:w="43" w:type="dxa"/>
            </w:tcMar>
          </w:tcPr>
          <w:p w14:paraId="000001BA"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2021/2022</w:t>
            </w:r>
          </w:p>
        </w:tc>
      </w:tr>
      <w:tr w:rsidR="00D67D77" w14:paraId="71AD2C8F" w14:textId="77777777">
        <w:trPr>
          <w:trHeight w:val="470"/>
        </w:trPr>
        <w:tc>
          <w:tcPr>
            <w:tcW w:w="2130" w:type="dxa"/>
            <w:shd w:val="clear" w:color="auto" w:fill="auto"/>
            <w:tcMar>
              <w:top w:w="100" w:type="dxa"/>
              <w:left w:w="100" w:type="dxa"/>
              <w:bottom w:w="100" w:type="dxa"/>
              <w:right w:w="100" w:type="dxa"/>
            </w:tcMar>
          </w:tcPr>
          <w:p w14:paraId="000001BB" w14:textId="77777777" w:rsidR="00D67D77" w:rsidRDefault="00000000">
            <w:pPr>
              <w:spacing w:before="240"/>
              <w:ind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 of dives </w:t>
            </w:r>
          </w:p>
        </w:tc>
        <w:tc>
          <w:tcPr>
            <w:tcW w:w="1995" w:type="dxa"/>
            <w:tcMar>
              <w:top w:w="100" w:type="dxa"/>
              <w:left w:w="100" w:type="dxa"/>
              <w:bottom w:w="100" w:type="dxa"/>
              <w:right w:w="100" w:type="dxa"/>
            </w:tcMar>
          </w:tcPr>
          <w:p w14:paraId="000001BC"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8246 (40.5%)</w:t>
            </w:r>
          </w:p>
        </w:tc>
        <w:tc>
          <w:tcPr>
            <w:tcW w:w="2055" w:type="dxa"/>
            <w:tcMar>
              <w:top w:w="100" w:type="dxa"/>
              <w:left w:w="100" w:type="dxa"/>
              <w:bottom w:w="100" w:type="dxa"/>
              <w:right w:w="100" w:type="dxa"/>
            </w:tcMar>
          </w:tcPr>
          <w:p w14:paraId="000001BD"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13708 (41.3%)</w:t>
            </w:r>
          </w:p>
        </w:tc>
        <w:tc>
          <w:tcPr>
            <w:tcW w:w="2145" w:type="dxa"/>
            <w:tcMar>
              <w:top w:w="100" w:type="dxa"/>
              <w:left w:w="100" w:type="dxa"/>
              <w:bottom w:w="100" w:type="dxa"/>
              <w:right w:w="100" w:type="dxa"/>
            </w:tcMar>
          </w:tcPr>
          <w:p w14:paraId="000001BE"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17124 (46%)</w:t>
            </w:r>
          </w:p>
        </w:tc>
        <w:tc>
          <w:tcPr>
            <w:tcW w:w="1980" w:type="dxa"/>
            <w:tcMar>
              <w:top w:w="100" w:type="dxa"/>
              <w:left w:w="100" w:type="dxa"/>
              <w:bottom w:w="100" w:type="dxa"/>
              <w:right w:w="100" w:type="dxa"/>
            </w:tcMar>
          </w:tcPr>
          <w:p w14:paraId="000001BF"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6101 (35%)</w:t>
            </w:r>
          </w:p>
        </w:tc>
      </w:tr>
      <w:tr w:rsidR="00D67D77" w14:paraId="1B936B6E" w14:textId="77777777">
        <w:trPr>
          <w:trHeight w:val="470"/>
        </w:trPr>
        <w:tc>
          <w:tcPr>
            <w:tcW w:w="2130" w:type="dxa"/>
            <w:shd w:val="clear" w:color="auto" w:fill="auto"/>
            <w:tcMar>
              <w:top w:w="100" w:type="dxa"/>
              <w:left w:w="100" w:type="dxa"/>
              <w:bottom w:w="100" w:type="dxa"/>
              <w:right w:w="100" w:type="dxa"/>
            </w:tcMar>
          </w:tcPr>
          <w:p w14:paraId="000001C0" w14:textId="77777777" w:rsidR="00D67D77" w:rsidRDefault="00000000">
            <w:pPr>
              <w:spacing w:before="240"/>
              <w:ind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Dive duration (s)*</w:t>
            </w:r>
          </w:p>
        </w:tc>
        <w:tc>
          <w:tcPr>
            <w:tcW w:w="1995" w:type="dxa"/>
            <w:tcMar>
              <w:top w:w="100" w:type="dxa"/>
              <w:left w:w="100" w:type="dxa"/>
              <w:bottom w:w="100" w:type="dxa"/>
              <w:right w:w="100" w:type="dxa"/>
            </w:tcMar>
          </w:tcPr>
          <w:p w14:paraId="000001C1" w14:textId="77777777" w:rsidR="00D67D77" w:rsidRDefault="00000000">
            <w:pPr>
              <w:spacing w:before="240"/>
              <w:ind w:left="140" w:right="1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85.12 ± 6.44</w:t>
            </w:r>
          </w:p>
        </w:tc>
        <w:tc>
          <w:tcPr>
            <w:tcW w:w="2055" w:type="dxa"/>
            <w:tcMar>
              <w:top w:w="100" w:type="dxa"/>
              <w:left w:w="100" w:type="dxa"/>
              <w:bottom w:w="100" w:type="dxa"/>
              <w:right w:w="100" w:type="dxa"/>
            </w:tcMar>
          </w:tcPr>
          <w:p w14:paraId="000001C2" w14:textId="77777777" w:rsidR="00D67D77" w:rsidRDefault="00000000">
            <w:pPr>
              <w:spacing w:before="240"/>
              <w:ind w:left="140" w:right="1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96.63 ± 6.50</w:t>
            </w:r>
          </w:p>
        </w:tc>
        <w:tc>
          <w:tcPr>
            <w:tcW w:w="2145" w:type="dxa"/>
            <w:tcMar>
              <w:top w:w="100" w:type="dxa"/>
              <w:left w:w="100" w:type="dxa"/>
              <w:bottom w:w="100" w:type="dxa"/>
              <w:right w:w="100" w:type="dxa"/>
            </w:tcMar>
          </w:tcPr>
          <w:p w14:paraId="000001C3"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100.25 ± 5.73</w:t>
            </w:r>
          </w:p>
        </w:tc>
        <w:tc>
          <w:tcPr>
            <w:tcW w:w="1980" w:type="dxa"/>
            <w:tcMar>
              <w:top w:w="100" w:type="dxa"/>
              <w:left w:w="100" w:type="dxa"/>
              <w:bottom w:w="100" w:type="dxa"/>
              <w:right w:w="100" w:type="dxa"/>
            </w:tcMar>
          </w:tcPr>
          <w:p w14:paraId="000001C4"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106.52 ± 8.71</w:t>
            </w:r>
          </w:p>
        </w:tc>
      </w:tr>
      <w:tr w:rsidR="00D67D77" w14:paraId="018D09A5" w14:textId="77777777">
        <w:trPr>
          <w:trHeight w:val="470"/>
        </w:trPr>
        <w:tc>
          <w:tcPr>
            <w:tcW w:w="2130" w:type="dxa"/>
            <w:shd w:val="clear" w:color="auto" w:fill="auto"/>
            <w:tcMar>
              <w:top w:w="100" w:type="dxa"/>
              <w:left w:w="100" w:type="dxa"/>
              <w:bottom w:w="100" w:type="dxa"/>
              <w:right w:w="100" w:type="dxa"/>
            </w:tcMar>
          </w:tcPr>
          <w:p w14:paraId="000001C5" w14:textId="77777777" w:rsidR="00D67D77" w:rsidRDefault="00000000">
            <w:pPr>
              <w:spacing w:before="240"/>
              <w:ind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Depth (m)*</w:t>
            </w:r>
          </w:p>
        </w:tc>
        <w:tc>
          <w:tcPr>
            <w:tcW w:w="1995" w:type="dxa"/>
            <w:tcMar>
              <w:top w:w="100" w:type="dxa"/>
              <w:left w:w="100" w:type="dxa"/>
              <w:bottom w:w="100" w:type="dxa"/>
              <w:right w:w="100" w:type="dxa"/>
            </w:tcMar>
          </w:tcPr>
          <w:p w14:paraId="000001C6"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34.04 ± 5.13</w:t>
            </w:r>
          </w:p>
        </w:tc>
        <w:tc>
          <w:tcPr>
            <w:tcW w:w="2055" w:type="dxa"/>
            <w:tcMar>
              <w:top w:w="100" w:type="dxa"/>
              <w:left w:w="100" w:type="dxa"/>
              <w:bottom w:w="100" w:type="dxa"/>
              <w:right w:w="100" w:type="dxa"/>
            </w:tcMar>
          </w:tcPr>
          <w:p w14:paraId="000001C7"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36.73 ± 6.06</w:t>
            </w:r>
          </w:p>
        </w:tc>
        <w:tc>
          <w:tcPr>
            <w:tcW w:w="2145" w:type="dxa"/>
            <w:tcMar>
              <w:top w:w="100" w:type="dxa"/>
              <w:left w:w="100" w:type="dxa"/>
              <w:bottom w:w="100" w:type="dxa"/>
              <w:right w:w="100" w:type="dxa"/>
            </w:tcMar>
          </w:tcPr>
          <w:p w14:paraId="000001C8"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39.71 ± 4.62</w:t>
            </w:r>
          </w:p>
        </w:tc>
        <w:tc>
          <w:tcPr>
            <w:tcW w:w="1980" w:type="dxa"/>
            <w:tcMar>
              <w:top w:w="100" w:type="dxa"/>
              <w:left w:w="100" w:type="dxa"/>
              <w:bottom w:w="100" w:type="dxa"/>
              <w:right w:w="100" w:type="dxa"/>
            </w:tcMar>
          </w:tcPr>
          <w:p w14:paraId="000001C9"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44.72 ± 5.23</w:t>
            </w:r>
          </w:p>
        </w:tc>
      </w:tr>
      <w:tr w:rsidR="00D67D77" w14:paraId="1AB7B8A4" w14:textId="77777777">
        <w:trPr>
          <w:trHeight w:val="470"/>
        </w:trPr>
        <w:tc>
          <w:tcPr>
            <w:tcW w:w="2130" w:type="dxa"/>
            <w:shd w:val="clear" w:color="auto" w:fill="auto"/>
            <w:tcMar>
              <w:top w:w="100" w:type="dxa"/>
              <w:left w:w="100" w:type="dxa"/>
              <w:bottom w:w="100" w:type="dxa"/>
              <w:right w:w="100" w:type="dxa"/>
            </w:tcMar>
          </w:tcPr>
          <w:p w14:paraId="000001CA" w14:textId="77777777" w:rsidR="00D67D77" w:rsidRDefault="00000000">
            <w:pPr>
              <w:spacing w:before="240"/>
              <w:ind w:right="14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Max.trip</w:t>
            </w:r>
            <w:proofErr w:type="spellEnd"/>
            <w:r>
              <w:rPr>
                <w:rFonts w:ascii="Times New Roman" w:eastAsia="Times New Roman" w:hAnsi="Times New Roman" w:cs="Times New Roman"/>
                <w:sz w:val="20"/>
                <w:szCs w:val="20"/>
              </w:rPr>
              <w:t xml:space="preserve"> depth (m)*</w:t>
            </w:r>
          </w:p>
        </w:tc>
        <w:tc>
          <w:tcPr>
            <w:tcW w:w="1995" w:type="dxa"/>
            <w:tcMar>
              <w:top w:w="100" w:type="dxa"/>
              <w:left w:w="100" w:type="dxa"/>
              <w:bottom w:w="100" w:type="dxa"/>
              <w:right w:w="100" w:type="dxa"/>
            </w:tcMar>
          </w:tcPr>
          <w:p w14:paraId="000001CB" w14:textId="77777777" w:rsidR="00D67D77" w:rsidRDefault="00000000">
            <w:pPr>
              <w:spacing w:before="240"/>
              <w:ind w:left="140" w:right="1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73.07 ± 17.31</w:t>
            </w:r>
          </w:p>
        </w:tc>
        <w:tc>
          <w:tcPr>
            <w:tcW w:w="2055" w:type="dxa"/>
            <w:tcMar>
              <w:top w:w="100" w:type="dxa"/>
              <w:left w:w="100" w:type="dxa"/>
              <w:bottom w:w="100" w:type="dxa"/>
              <w:right w:w="100" w:type="dxa"/>
            </w:tcMar>
          </w:tcPr>
          <w:p w14:paraId="000001CC" w14:textId="77777777" w:rsidR="00D67D77" w:rsidRDefault="00000000">
            <w:pPr>
              <w:spacing w:before="240"/>
              <w:ind w:left="140" w:right="1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85.99 ± 19.77</w:t>
            </w:r>
          </w:p>
        </w:tc>
        <w:tc>
          <w:tcPr>
            <w:tcW w:w="2145" w:type="dxa"/>
            <w:tcMar>
              <w:top w:w="100" w:type="dxa"/>
              <w:left w:w="100" w:type="dxa"/>
              <w:bottom w:w="100" w:type="dxa"/>
              <w:right w:w="100" w:type="dxa"/>
            </w:tcMar>
          </w:tcPr>
          <w:p w14:paraId="000001CD"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90.85 ± 14.73</w:t>
            </w:r>
          </w:p>
        </w:tc>
        <w:tc>
          <w:tcPr>
            <w:tcW w:w="1980" w:type="dxa"/>
            <w:tcMar>
              <w:top w:w="100" w:type="dxa"/>
              <w:left w:w="100" w:type="dxa"/>
              <w:bottom w:w="100" w:type="dxa"/>
              <w:right w:w="100" w:type="dxa"/>
            </w:tcMar>
          </w:tcPr>
          <w:p w14:paraId="000001CE"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85.50 ± 21.03</w:t>
            </w:r>
          </w:p>
        </w:tc>
      </w:tr>
      <w:tr w:rsidR="00D67D77" w14:paraId="153319D0" w14:textId="77777777">
        <w:trPr>
          <w:trHeight w:val="470"/>
        </w:trPr>
        <w:tc>
          <w:tcPr>
            <w:tcW w:w="2130" w:type="dxa"/>
            <w:shd w:val="clear" w:color="auto" w:fill="auto"/>
            <w:tcMar>
              <w:top w:w="100" w:type="dxa"/>
              <w:left w:w="100" w:type="dxa"/>
              <w:bottom w:w="100" w:type="dxa"/>
              <w:right w:w="100" w:type="dxa"/>
            </w:tcMar>
          </w:tcPr>
          <w:p w14:paraId="000001CF" w14:textId="77777777" w:rsidR="00D67D77" w:rsidRDefault="00000000">
            <w:pPr>
              <w:spacing w:before="240"/>
              <w:ind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Bottom time (s)*</w:t>
            </w:r>
          </w:p>
        </w:tc>
        <w:tc>
          <w:tcPr>
            <w:tcW w:w="1995" w:type="dxa"/>
            <w:tcMar>
              <w:top w:w="100" w:type="dxa"/>
              <w:left w:w="100" w:type="dxa"/>
              <w:bottom w:w="100" w:type="dxa"/>
              <w:right w:w="100" w:type="dxa"/>
            </w:tcMar>
          </w:tcPr>
          <w:p w14:paraId="000001D0" w14:textId="77777777" w:rsidR="00D67D77" w:rsidRDefault="00000000">
            <w:pPr>
              <w:spacing w:before="240"/>
              <w:ind w:left="140" w:right="1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41.85 ± 2.98</w:t>
            </w:r>
          </w:p>
        </w:tc>
        <w:tc>
          <w:tcPr>
            <w:tcW w:w="2055" w:type="dxa"/>
            <w:tcMar>
              <w:top w:w="100" w:type="dxa"/>
              <w:left w:w="100" w:type="dxa"/>
              <w:bottom w:w="100" w:type="dxa"/>
              <w:right w:w="100" w:type="dxa"/>
            </w:tcMar>
          </w:tcPr>
          <w:p w14:paraId="000001D1" w14:textId="77777777" w:rsidR="00D67D77" w:rsidRDefault="00000000">
            <w:pPr>
              <w:spacing w:before="240"/>
              <w:ind w:left="140" w:right="1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49.94 ± 2.95</w:t>
            </w:r>
          </w:p>
        </w:tc>
        <w:tc>
          <w:tcPr>
            <w:tcW w:w="2145" w:type="dxa"/>
            <w:tcMar>
              <w:top w:w="100" w:type="dxa"/>
              <w:left w:w="100" w:type="dxa"/>
              <w:bottom w:w="100" w:type="dxa"/>
              <w:right w:w="100" w:type="dxa"/>
            </w:tcMar>
          </w:tcPr>
          <w:p w14:paraId="000001D2"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48.23 ± 2.75</w:t>
            </w:r>
          </w:p>
        </w:tc>
        <w:tc>
          <w:tcPr>
            <w:tcW w:w="1980" w:type="dxa"/>
            <w:tcMar>
              <w:top w:w="100" w:type="dxa"/>
              <w:left w:w="100" w:type="dxa"/>
              <w:bottom w:w="100" w:type="dxa"/>
              <w:right w:w="100" w:type="dxa"/>
            </w:tcMar>
          </w:tcPr>
          <w:p w14:paraId="000001D3"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51.75 ± 5.06</w:t>
            </w:r>
          </w:p>
        </w:tc>
      </w:tr>
      <w:tr w:rsidR="00D67D77" w14:paraId="6472024F" w14:textId="77777777">
        <w:trPr>
          <w:trHeight w:val="470"/>
        </w:trPr>
        <w:tc>
          <w:tcPr>
            <w:tcW w:w="2130" w:type="dxa"/>
            <w:tcBorders>
              <w:bottom w:val="single" w:sz="4" w:space="0" w:color="000000"/>
            </w:tcBorders>
            <w:shd w:val="clear" w:color="auto" w:fill="auto"/>
            <w:tcMar>
              <w:top w:w="100" w:type="dxa"/>
              <w:left w:w="100" w:type="dxa"/>
              <w:bottom w:w="100" w:type="dxa"/>
              <w:right w:w="100" w:type="dxa"/>
            </w:tcMar>
          </w:tcPr>
          <w:p w14:paraId="000001D4" w14:textId="77777777" w:rsidR="00D67D77" w:rsidRDefault="00000000">
            <w:pPr>
              <w:spacing w:before="240"/>
              <w:ind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N° of wiggles</w:t>
            </w:r>
          </w:p>
        </w:tc>
        <w:tc>
          <w:tcPr>
            <w:tcW w:w="1995" w:type="dxa"/>
            <w:tcBorders>
              <w:bottom w:val="single" w:sz="4" w:space="0" w:color="000000"/>
            </w:tcBorders>
            <w:tcMar>
              <w:top w:w="100" w:type="dxa"/>
              <w:left w:w="100" w:type="dxa"/>
              <w:bottom w:w="100" w:type="dxa"/>
              <w:right w:w="100" w:type="dxa"/>
            </w:tcMar>
          </w:tcPr>
          <w:p w14:paraId="000001D5"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7.41 ± 0.60</w:t>
            </w:r>
          </w:p>
        </w:tc>
        <w:tc>
          <w:tcPr>
            <w:tcW w:w="2055" w:type="dxa"/>
            <w:tcBorders>
              <w:bottom w:val="single" w:sz="4" w:space="0" w:color="000000"/>
            </w:tcBorders>
            <w:tcMar>
              <w:top w:w="100" w:type="dxa"/>
              <w:left w:w="100" w:type="dxa"/>
              <w:bottom w:w="100" w:type="dxa"/>
              <w:right w:w="100" w:type="dxa"/>
            </w:tcMar>
          </w:tcPr>
          <w:p w14:paraId="000001D6"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7.77 ± 0.66</w:t>
            </w:r>
          </w:p>
        </w:tc>
        <w:tc>
          <w:tcPr>
            <w:tcW w:w="2145" w:type="dxa"/>
            <w:tcBorders>
              <w:bottom w:val="single" w:sz="4" w:space="0" w:color="000000"/>
            </w:tcBorders>
            <w:tcMar>
              <w:top w:w="100" w:type="dxa"/>
              <w:left w:w="100" w:type="dxa"/>
              <w:bottom w:w="100" w:type="dxa"/>
              <w:right w:w="100" w:type="dxa"/>
            </w:tcMar>
          </w:tcPr>
          <w:p w14:paraId="000001D7"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7.95 ± 0.58</w:t>
            </w:r>
          </w:p>
        </w:tc>
        <w:tc>
          <w:tcPr>
            <w:tcW w:w="1980" w:type="dxa"/>
            <w:tcBorders>
              <w:bottom w:val="single" w:sz="4" w:space="0" w:color="000000"/>
            </w:tcBorders>
            <w:tcMar>
              <w:top w:w="100" w:type="dxa"/>
              <w:left w:w="100" w:type="dxa"/>
              <w:bottom w:w="100" w:type="dxa"/>
              <w:right w:w="100" w:type="dxa"/>
            </w:tcMar>
          </w:tcPr>
          <w:p w14:paraId="000001D8"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8.54 ±1.12</w:t>
            </w:r>
          </w:p>
        </w:tc>
      </w:tr>
      <w:tr w:rsidR="00D67D77" w14:paraId="04CF8CAC" w14:textId="77777777">
        <w:trPr>
          <w:trHeight w:val="470"/>
        </w:trPr>
        <w:tc>
          <w:tcPr>
            <w:tcW w:w="2130" w:type="dxa"/>
            <w:tcBorders>
              <w:top w:val="single" w:sz="4" w:space="0" w:color="000000"/>
              <w:bottom w:val="single" w:sz="4" w:space="0" w:color="000000"/>
            </w:tcBorders>
            <w:shd w:val="clear" w:color="auto" w:fill="auto"/>
            <w:tcMar>
              <w:top w:w="100" w:type="dxa"/>
              <w:left w:w="100" w:type="dxa"/>
              <w:bottom w:w="100" w:type="dxa"/>
              <w:right w:w="100" w:type="dxa"/>
            </w:tcMar>
          </w:tcPr>
          <w:p w14:paraId="000001D9" w14:textId="77777777" w:rsidR="00D67D77" w:rsidRDefault="00000000">
            <w:pPr>
              <w:spacing w:before="240"/>
              <w:ind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Foraging frequency</w:t>
            </w:r>
          </w:p>
        </w:tc>
        <w:tc>
          <w:tcPr>
            <w:tcW w:w="1995" w:type="dxa"/>
            <w:tcBorders>
              <w:top w:val="single" w:sz="4" w:space="0" w:color="000000"/>
              <w:bottom w:val="single" w:sz="4" w:space="0" w:color="000000"/>
            </w:tcBorders>
            <w:tcMar>
              <w:top w:w="100" w:type="dxa"/>
              <w:left w:w="100" w:type="dxa"/>
              <w:bottom w:w="100" w:type="dxa"/>
              <w:right w:w="100" w:type="dxa"/>
            </w:tcMar>
          </w:tcPr>
          <w:p w14:paraId="000001DA"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15.00 ± 4.61</w:t>
            </w:r>
          </w:p>
        </w:tc>
        <w:tc>
          <w:tcPr>
            <w:tcW w:w="2055" w:type="dxa"/>
            <w:tcBorders>
              <w:top w:val="single" w:sz="4" w:space="0" w:color="000000"/>
              <w:bottom w:val="single" w:sz="4" w:space="0" w:color="000000"/>
            </w:tcBorders>
            <w:tcMar>
              <w:top w:w="100" w:type="dxa"/>
              <w:left w:w="100" w:type="dxa"/>
              <w:bottom w:w="100" w:type="dxa"/>
              <w:right w:w="100" w:type="dxa"/>
            </w:tcMar>
          </w:tcPr>
          <w:p w14:paraId="000001DB" w14:textId="77777777" w:rsidR="00D67D77" w:rsidRDefault="00000000">
            <w:pPr>
              <w:spacing w:before="240"/>
              <w:ind w:left="14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16.08 ± 5.66</w:t>
            </w:r>
          </w:p>
        </w:tc>
        <w:tc>
          <w:tcPr>
            <w:tcW w:w="2145" w:type="dxa"/>
            <w:tcBorders>
              <w:top w:val="single" w:sz="4" w:space="0" w:color="000000"/>
              <w:bottom w:val="single" w:sz="4" w:space="0" w:color="000000"/>
            </w:tcBorders>
            <w:tcMar>
              <w:top w:w="100" w:type="dxa"/>
              <w:left w:w="100" w:type="dxa"/>
              <w:bottom w:w="100" w:type="dxa"/>
              <w:right w:w="100" w:type="dxa"/>
            </w:tcMar>
          </w:tcPr>
          <w:p w14:paraId="000001DC" w14:textId="77777777" w:rsidR="00D67D77" w:rsidRDefault="00000000">
            <w:pPr>
              <w:spacing w:before="240"/>
              <w:ind w:left="140" w:right="1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15.27 ± 4.75</w:t>
            </w:r>
          </w:p>
        </w:tc>
        <w:tc>
          <w:tcPr>
            <w:tcW w:w="1980" w:type="dxa"/>
            <w:tcBorders>
              <w:top w:val="single" w:sz="4" w:space="0" w:color="000000"/>
              <w:bottom w:val="single" w:sz="4" w:space="0" w:color="000000"/>
            </w:tcBorders>
            <w:tcMar>
              <w:top w:w="100" w:type="dxa"/>
              <w:left w:w="100" w:type="dxa"/>
              <w:bottom w:w="100" w:type="dxa"/>
              <w:right w:w="100" w:type="dxa"/>
            </w:tcMar>
          </w:tcPr>
          <w:p w14:paraId="000001DD" w14:textId="77777777" w:rsidR="00D67D77" w:rsidRDefault="00000000">
            <w:pPr>
              <w:spacing w:before="240"/>
              <w:ind w:left="140" w:right="1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11.42 ± 5.60</w:t>
            </w:r>
          </w:p>
        </w:tc>
      </w:tr>
    </w:tbl>
    <w:p w14:paraId="000001DE" w14:textId="77777777" w:rsidR="00D67D77" w:rsidRDefault="00D67D77">
      <w:pPr>
        <w:rPr>
          <w:rFonts w:ascii="Times New Roman" w:eastAsia="Times New Roman" w:hAnsi="Times New Roman" w:cs="Times New Roman"/>
          <w:sz w:val="20"/>
          <w:szCs w:val="20"/>
        </w:rPr>
      </w:pPr>
    </w:p>
    <w:sectPr w:rsidR="00D67D77">
      <w:footerReference w:type="default" r:id="rId109"/>
      <w:pgSz w:w="11909" w:h="16834"/>
      <w:pgMar w:top="1440" w:right="1397" w:bottom="1440" w:left="1440" w:header="720" w:footer="720"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BB936" w14:textId="77777777" w:rsidR="00245306" w:rsidRDefault="00245306">
      <w:pPr>
        <w:spacing w:line="240" w:lineRule="auto"/>
      </w:pPr>
      <w:r>
        <w:separator/>
      </w:r>
    </w:p>
  </w:endnote>
  <w:endnote w:type="continuationSeparator" w:id="0">
    <w:p w14:paraId="2B0176EC" w14:textId="77777777" w:rsidR="00245306" w:rsidRDefault="002453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DF" w14:textId="77777777" w:rsidR="00D67D77" w:rsidRDefault="00D67D77">
    <w:pPr>
      <w:pBdr>
        <w:top w:val="nil"/>
        <w:left w:val="nil"/>
        <w:bottom w:val="nil"/>
        <w:right w:val="nil"/>
        <w:between w:val="nil"/>
      </w:pBdr>
      <w:tabs>
        <w:tab w:val="center" w:pos="4680"/>
        <w:tab w:val="right" w:pos="9360"/>
      </w:tabs>
      <w:spacing w:line="240" w:lineRule="auto"/>
      <w:rPr>
        <w:color w:val="000000"/>
      </w:rPr>
    </w:pPr>
  </w:p>
  <w:p w14:paraId="000001E0" w14:textId="087E53E2" w:rsidR="00D67D77" w:rsidRDefault="00000000">
    <w:pPr>
      <w:pBdr>
        <w:top w:val="nil"/>
        <w:left w:val="nil"/>
        <w:bottom w:val="nil"/>
        <w:right w:val="nil"/>
        <w:between w:val="nil"/>
      </w:pBdr>
      <w:tabs>
        <w:tab w:val="center" w:pos="4680"/>
        <w:tab w:val="right" w:pos="9360"/>
      </w:tabs>
      <w:spacing w:line="240" w:lineRule="auto"/>
      <w:rPr>
        <w:color w:val="000000"/>
      </w:rPr>
    </w:pPr>
    <w:r>
      <w:rPr>
        <w:color w:val="000000"/>
      </w:rPr>
      <w:fldChar w:fldCharType="begin"/>
    </w:r>
    <w:r>
      <w:rPr>
        <w:color w:val="000000"/>
      </w:rPr>
      <w:instrText>PAGE</w:instrText>
    </w:r>
    <w:r>
      <w:rPr>
        <w:color w:val="000000"/>
      </w:rPr>
      <w:fldChar w:fldCharType="separate"/>
    </w:r>
    <w:r w:rsidR="00F74DC7">
      <w:rPr>
        <w:noProof/>
        <w:color w:val="000000"/>
      </w:rPr>
      <w:t>1</w:t>
    </w:r>
    <w:r>
      <w:rPr>
        <w:color w:val="000000"/>
      </w:rPr>
      <w:fldChar w:fldCharType="end"/>
    </w:r>
  </w:p>
  <w:p w14:paraId="000001E1" w14:textId="77777777" w:rsidR="00D67D77" w:rsidRDefault="00D67D77">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B4A2C" w14:textId="77777777" w:rsidR="00245306" w:rsidRDefault="00245306">
      <w:pPr>
        <w:spacing w:line="240" w:lineRule="auto"/>
      </w:pPr>
      <w:r>
        <w:separator/>
      </w:r>
    </w:p>
  </w:footnote>
  <w:footnote w:type="continuationSeparator" w:id="0">
    <w:p w14:paraId="323D5720" w14:textId="77777777" w:rsidR="00245306" w:rsidRDefault="0024530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D77"/>
    <w:rsid w:val="000B0980"/>
    <w:rsid w:val="000B3712"/>
    <w:rsid w:val="000E0B0A"/>
    <w:rsid w:val="001928F9"/>
    <w:rsid w:val="001A5982"/>
    <w:rsid w:val="00245306"/>
    <w:rsid w:val="002A069D"/>
    <w:rsid w:val="00302488"/>
    <w:rsid w:val="00346D22"/>
    <w:rsid w:val="00364267"/>
    <w:rsid w:val="003C49F8"/>
    <w:rsid w:val="004953AD"/>
    <w:rsid w:val="004A587E"/>
    <w:rsid w:val="004E7470"/>
    <w:rsid w:val="005E3459"/>
    <w:rsid w:val="006258BC"/>
    <w:rsid w:val="00663226"/>
    <w:rsid w:val="006B029F"/>
    <w:rsid w:val="007149AD"/>
    <w:rsid w:val="008368A6"/>
    <w:rsid w:val="008C50D3"/>
    <w:rsid w:val="00912568"/>
    <w:rsid w:val="009D24DF"/>
    <w:rsid w:val="00A108A6"/>
    <w:rsid w:val="00A17E99"/>
    <w:rsid w:val="00AC6886"/>
    <w:rsid w:val="00B100F3"/>
    <w:rsid w:val="00B331BD"/>
    <w:rsid w:val="00B62717"/>
    <w:rsid w:val="00C20E52"/>
    <w:rsid w:val="00C634C2"/>
    <w:rsid w:val="00C6416C"/>
    <w:rsid w:val="00CC36E1"/>
    <w:rsid w:val="00CE317C"/>
    <w:rsid w:val="00D61B5E"/>
    <w:rsid w:val="00D66CE1"/>
    <w:rsid w:val="00D67D77"/>
    <w:rsid w:val="00D847E9"/>
    <w:rsid w:val="00DD5804"/>
    <w:rsid w:val="00DD6AA1"/>
    <w:rsid w:val="00DF5CA9"/>
    <w:rsid w:val="00E676E8"/>
    <w:rsid w:val="00EA5E0B"/>
    <w:rsid w:val="00F74DC7"/>
    <w:rsid w:val="00FB392F"/>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DE223"/>
  <w15:docId w15:val="{9CA20627-A5BC-4980-82A2-DA8FBA3BB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s-UY"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1"/>
    <w:pPr>
      <w:spacing w:line="240" w:lineRule="auto"/>
    </w:p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LineNumber">
    <w:name w:val="line number"/>
    <w:basedOn w:val="DefaultParagraphFont"/>
    <w:uiPriority w:val="99"/>
    <w:semiHidden/>
    <w:unhideWhenUsed/>
    <w:rsid w:val="00F74DC7"/>
  </w:style>
  <w:style w:type="paragraph" w:styleId="Revision">
    <w:name w:val="Revision"/>
    <w:hidden/>
    <w:uiPriority w:val="99"/>
    <w:semiHidden/>
    <w:rsid w:val="00F74DC7"/>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4438045">
      <w:bodyDiv w:val="1"/>
      <w:marLeft w:val="0"/>
      <w:marRight w:val="0"/>
      <w:marTop w:val="0"/>
      <w:marBottom w:val="0"/>
      <w:divBdr>
        <w:top w:val="none" w:sz="0" w:space="0" w:color="auto"/>
        <w:left w:val="none" w:sz="0" w:space="0" w:color="auto"/>
        <w:bottom w:val="none" w:sz="0" w:space="0" w:color="auto"/>
        <w:right w:val="none" w:sz="0" w:space="0" w:color="auto"/>
      </w:divBdr>
    </w:div>
    <w:div w:id="14582575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crvi.2013.02.002" TargetMode="External"/><Relationship Id="rId21" Type="http://schemas.openxmlformats.org/officeDocument/2006/relationships/hyperlink" Target="https://doi.org/10.1007/s003000050308" TargetMode="External"/><Relationship Id="rId42" Type="http://schemas.openxmlformats.org/officeDocument/2006/relationships/hyperlink" Target="https://doi.org/10.1002/ece3.1914" TargetMode="External"/><Relationship Id="rId47" Type="http://schemas.openxmlformats.org/officeDocument/2006/relationships/hyperlink" Target="https://doi.org/10.3354/meps310247" TargetMode="External"/><Relationship Id="rId63" Type="http://schemas.openxmlformats.org/officeDocument/2006/relationships/hyperlink" Target="https://doi.org/10.1007/s00300-019-02614-0" TargetMode="External"/><Relationship Id="rId68" Type="http://schemas.openxmlformats.org/officeDocument/2006/relationships/hyperlink" Target="https://doi.org/10.1016/j.polar.2015.10.001" TargetMode="External"/><Relationship Id="rId84" Type="http://schemas.openxmlformats.org/officeDocument/2006/relationships/hyperlink" Target="https://doi.org/10.1002/ecs2.4090" TargetMode="External"/><Relationship Id="rId89" Type="http://schemas.openxmlformats.org/officeDocument/2006/relationships/hyperlink" Target="https://doi.org/10.3389/fmars.2023.1060984" TargetMode="External"/><Relationship Id="rId16" Type="http://schemas.openxmlformats.org/officeDocument/2006/relationships/image" Target="media/image2.png"/><Relationship Id="rId107" Type="http://schemas.openxmlformats.org/officeDocument/2006/relationships/hyperlink" Target="https://doi.org/10.1186/s40462-015-0052-7" TargetMode="External"/><Relationship Id="rId11" Type="http://schemas.openxmlformats.org/officeDocument/2006/relationships/hyperlink" Target="https://orcid.org/0000-0002-7613-1897" TargetMode="External"/><Relationship Id="rId32" Type="http://schemas.openxmlformats.org/officeDocument/2006/relationships/hyperlink" Target="https://doi.org/10.1242/jeb.035378" TargetMode="External"/><Relationship Id="rId37" Type="http://schemas.openxmlformats.org/officeDocument/2006/relationships/hyperlink" Target="https://doi.org/10.1641/B580707" TargetMode="External"/><Relationship Id="rId53" Type="http://schemas.openxmlformats.org/officeDocument/2006/relationships/hyperlink" Target="https://doi.org/10.1007/s00227-017-3142-9" TargetMode="External"/><Relationship Id="rId58" Type="http://schemas.openxmlformats.org/officeDocument/2006/relationships/hyperlink" Target="https://doi.org/10.1002/bimj.200810425" TargetMode="External"/><Relationship Id="rId74" Type="http://schemas.openxmlformats.org/officeDocument/2006/relationships/hyperlink" Target="http://doi.org/10.1098/rspb.2022.2480" TargetMode="External"/><Relationship Id="rId79" Type="http://schemas.openxmlformats.org/officeDocument/2006/relationships/hyperlink" Target="https://doi.org/10.1007/s00227-008-0909-z" TargetMode="External"/><Relationship Id="rId102" Type="http://schemas.openxmlformats.org/officeDocument/2006/relationships/hyperlink" Target="https://doi.org/10.1007/s00227-016-3067-8" TargetMode="External"/><Relationship Id="rId5" Type="http://schemas.openxmlformats.org/officeDocument/2006/relationships/webSettings" Target="webSettings.xml"/><Relationship Id="rId90" Type="http://schemas.openxmlformats.org/officeDocument/2006/relationships/hyperlink" Target="https://doi.org/10.3389/fmars.2018.00264" TargetMode="External"/><Relationship Id="rId95" Type="http://schemas.openxmlformats.org/officeDocument/2006/relationships/hyperlink" Target="https://doi.org/10.2981/wlb.12117" TargetMode="External"/><Relationship Id="rId22" Type="http://schemas.openxmlformats.org/officeDocument/2006/relationships/hyperlink" Target="https://doi.org/10.1890/02-4073" TargetMode="External"/><Relationship Id="rId27" Type="http://schemas.openxmlformats.org/officeDocument/2006/relationships/hyperlink" Target="https://doi.org/10.1038/s41558-018-0370-z" TargetMode="External"/><Relationship Id="rId43" Type="http://schemas.openxmlformats.org/officeDocument/2006/relationships/hyperlink" Target="https://doi.org/10.1038/s41598-022-22258-1" TargetMode="External"/><Relationship Id="rId48" Type="http://schemas.openxmlformats.org/officeDocument/2006/relationships/hyperlink" Target="https://doi.org/10.3354/meps265001" TargetMode="External"/><Relationship Id="rId64" Type="http://schemas.openxmlformats.org/officeDocument/2006/relationships/hyperlink" Target="https://doi.org/10.1007/s00300-003-0493-0" TargetMode="External"/><Relationship Id="rId69" Type="http://schemas.openxmlformats.org/officeDocument/2006/relationships/hyperlink" Target="https://doi.org/10.1007/s13280-020-01386-w" TargetMode="External"/><Relationship Id="rId80" Type="http://schemas.openxmlformats.org/officeDocument/2006/relationships/hyperlink" Target="https://doi.org/10.1002/lno.11750" TargetMode="External"/><Relationship Id="rId85" Type="http://schemas.openxmlformats.org/officeDocument/2006/relationships/hyperlink" Target="https://doi.org/10.1016/j.cub.2022.06.084" TargetMode="External"/><Relationship Id="rId12" Type="http://schemas.openxmlformats.org/officeDocument/2006/relationships/hyperlink" Target="https://orcid.org/0000-0001-6494-5300" TargetMode="External"/><Relationship Id="rId17" Type="http://schemas.openxmlformats.org/officeDocument/2006/relationships/image" Target="media/image3.png"/><Relationship Id="rId33" Type="http://schemas.openxmlformats.org/officeDocument/2006/relationships/hyperlink" Target="https://doi.org/10.21105/joss.02815" TargetMode="External"/><Relationship Id="rId38" Type="http://schemas.openxmlformats.org/officeDocument/2006/relationships/hyperlink" Target="https://doi.org/10.1016/j.dsr2.2006.11.007" TargetMode="External"/><Relationship Id="rId59" Type="http://schemas.openxmlformats.org/officeDocument/2006/relationships/hyperlink" Target="https://doi.org/10.1111/ibi.12837" TargetMode="External"/><Relationship Id="rId103" Type="http://schemas.openxmlformats.org/officeDocument/2006/relationships/hyperlink" Target="https://doi.org/10.1073/pnas.1216244110" TargetMode="External"/><Relationship Id="rId108" Type="http://schemas.openxmlformats.org/officeDocument/2006/relationships/hyperlink" Target="https://doi.org/10.1111/j.1365-2435.2009.01654.x" TargetMode="External"/><Relationship Id="rId54" Type="http://schemas.openxmlformats.org/officeDocument/2006/relationships/hyperlink" Target="https://doi.org/10.1038/s41586-020-2126-y" TargetMode="External"/><Relationship Id="rId70" Type="http://schemas.openxmlformats.org/officeDocument/2006/relationships/hyperlink" Target="https://doi.org/10.3390/ani11020482" TargetMode="External"/><Relationship Id="rId75" Type="http://schemas.openxmlformats.org/officeDocument/2006/relationships/hyperlink" Target="https://doi.org/10.1642/AUK-14-31.1" TargetMode="External"/><Relationship Id="rId91" Type="http://schemas.openxmlformats.org/officeDocument/2006/relationships/hyperlink" Target="https://doi.org/10.1038/s41597-020-0406-x" TargetMode="External"/><Relationship Id="rId96" Type="http://schemas.openxmlformats.org/officeDocument/2006/relationships/hyperlink" Target="https://doi.org/10.3389/fenvs.2019.0010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doi.org/10.3354/meps11394" TargetMode="External"/><Relationship Id="rId28" Type="http://schemas.openxmlformats.org/officeDocument/2006/relationships/hyperlink" Target="https://doi.org/10.1111/j.1600-048X.2008.04538.x" TargetMode="External"/><Relationship Id="rId36" Type="http://schemas.openxmlformats.org/officeDocument/2006/relationships/hyperlink" Target="https://doi.org/10.1007/s00300-015-1807-8" TargetMode="External"/><Relationship Id="rId49" Type="http://schemas.openxmlformats.org/officeDocument/2006/relationships/hyperlink" Target="https://doi.org/10.5285/a29c5465-b138-234d-e053-6c86abc040b9" TargetMode="External"/><Relationship Id="rId57" Type="http://schemas.openxmlformats.org/officeDocument/2006/relationships/hyperlink" Target="https://doi.org/10.1038/d41586-020-02939-5" TargetMode="External"/><Relationship Id="rId106" Type="http://schemas.openxmlformats.org/officeDocument/2006/relationships/hyperlink" Target="https://doi.org/10.1038/s41598-020-59223-9" TargetMode="External"/><Relationship Id="rId10" Type="http://schemas.openxmlformats.org/officeDocument/2006/relationships/hyperlink" Target="https://orcid.org/0000-0002-8236-9332" TargetMode="External"/><Relationship Id="rId31" Type="http://schemas.openxmlformats.org/officeDocument/2006/relationships/hyperlink" Target="https://doi.org/10.1111/2041-210X.13713" TargetMode="External"/><Relationship Id="rId44" Type="http://schemas.openxmlformats.org/officeDocument/2006/relationships/hyperlink" Target="https://doi.org/10.1038/srep18820" TargetMode="External"/><Relationship Id="rId52" Type="http://schemas.openxmlformats.org/officeDocument/2006/relationships/hyperlink" Target="https://doi.org/10.3389/fmars.2020.602972" TargetMode="External"/><Relationship Id="rId60" Type="http://schemas.openxmlformats.org/officeDocument/2006/relationships/hyperlink" Target="https://doi.org/10.1371/journal.pone.0082227" TargetMode="External"/><Relationship Id="rId65" Type="http://schemas.openxmlformats.org/officeDocument/2006/relationships/hyperlink" Target="https://doi.org/10.1007/s00300-008-0518-9" TargetMode="External"/><Relationship Id="rId73" Type="http://schemas.openxmlformats.org/officeDocument/2006/relationships/hyperlink" Target="https://doi.org/10.1038/s41598-021-02451-4" TargetMode="External"/><Relationship Id="rId78" Type="http://schemas.openxmlformats.org/officeDocument/2006/relationships/hyperlink" Target="https://doi.org/10.1371/journal.pone.0244298" TargetMode="External"/><Relationship Id="rId81" Type="http://schemas.openxmlformats.org/officeDocument/2006/relationships/hyperlink" Target="https://doi.org/10.1007/s00300-016-2017-8" TargetMode="External"/><Relationship Id="rId86" Type="http://schemas.openxmlformats.org/officeDocument/2006/relationships/hyperlink" Target="https://doi.org/10.1186/s40462-021-00261-x" TargetMode="External"/><Relationship Id="rId94" Type="http://schemas.openxmlformats.org/officeDocument/2006/relationships/hyperlink" Target="https://doi.org/10.1007/s00227-011-1753-0" TargetMode="External"/><Relationship Id="rId99" Type="http://schemas.openxmlformats.org/officeDocument/2006/relationships/hyperlink" Target="https://doi.org/10.1016/j.jmarsys.2021.103598" TargetMode="External"/><Relationship Id="rId101" Type="http://schemas.openxmlformats.org/officeDocument/2006/relationships/hyperlink" Target="https://doi.org/10.1073/pnas.1016560108" TargetMode="External"/><Relationship Id="rId4" Type="http://schemas.openxmlformats.org/officeDocument/2006/relationships/settings" Target="settings.xml"/><Relationship Id="rId9" Type="http://schemas.openxmlformats.org/officeDocument/2006/relationships/hyperlink" Target="https://orcid.org/0000-0002-8947-3634" TargetMode="External"/><Relationship Id="rId13" Type="http://schemas.openxmlformats.org/officeDocument/2006/relationships/hyperlink" Target="https://orcid.org/0000-0001-8434-3649" TargetMode="External"/><Relationship Id="rId18" Type="http://schemas.openxmlformats.org/officeDocument/2006/relationships/image" Target="media/image4.png"/><Relationship Id="rId39" Type="http://schemas.openxmlformats.org/officeDocument/2006/relationships/hyperlink" Target="https://doi.org/10.1101/132753" TargetMode="External"/><Relationship Id="rId109" Type="http://schemas.openxmlformats.org/officeDocument/2006/relationships/footer" Target="footer1.xml"/><Relationship Id="rId34" Type="http://schemas.openxmlformats.org/officeDocument/2006/relationships/hyperlink" Target="https://doi.org/10.1046/j.1365-2435.2002.00622.x" TargetMode="External"/><Relationship Id="rId50" Type="http://schemas.openxmlformats.org/officeDocument/2006/relationships/hyperlink" Target="https://doi.org/10.1371/journal.pone.0090081" TargetMode="External"/><Relationship Id="rId55" Type="http://schemas.openxmlformats.org/officeDocument/2006/relationships/hyperlink" Target="https://doi.org/10.1007/s00300-014-1562-2" TargetMode="External"/><Relationship Id="rId76" Type="http://schemas.openxmlformats.org/officeDocument/2006/relationships/hyperlink" Target="https://doi.org/10.1890/11-1588.1" TargetMode="External"/><Relationship Id="rId97" Type="http://schemas.openxmlformats.org/officeDocument/2006/relationships/hyperlink" Target="https://doi.org/10.1371/journal.pone.0139877" TargetMode="External"/><Relationship Id="rId104" Type="http://schemas.openxmlformats.org/officeDocument/2006/relationships/hyperlink" Target="https://doi.org/10.2307/5384" TargetMode="External"/><Relationship Id="rId7" Type="http://schemas.openxmlformats.org/officeDocument/2006/relationships/endnotes" Target="endnotes.xml"/><Relationship Id="rId71" Type="http://schemas.openxmlformats.org/officeDocument/2006/relationships/hyperlink" Target="https://doi.org/10.1890/09-0766.1" TargetMode="External"/><Relationship Id="rId92" Type="http://schemas.openxmlformats.org/officeDocument/2006/relationships/hyperlink" Target="https://doi.org/10.1038/s41598-023-32352-7" TargetMode="External"/><Relationship Id="rId2" Type="http://schemas.openxmlformats.org/officeDocument/2006/relationships/customXml" Target="../customXml/item2.xml"/><Relationship Id="rId29" Type="http://schemas.openxmlformats.org/officeDocument/2006/relationships/hyperlink" Target="https://doi.org/10.3354/meps08514" TargetMode="External"/><Relationship Id="rId24" Type="http://schemas.openxmlformats.org/officeDocument/2006/relationships/hyperlink" Target="https://doi.org/10.3354/meps12687" TargetMode="External"/><Relationship Id="rId40" Type="http://schemas.openxmlformats.org/officeDocument/2006/relationships/hyperlink" Target="https://doi.org/10.1016/j.ecolmodel.2006.03.017" TargetMode="External"/><Relationship Id="rId45" Type="http://schemas.openxmlformats.org/officeDocument/2006/relationships/hyperlink" Target="https://doi.org/10.1002/ecs2.4417" TargetMode="External"/><Relationship Id="rId66" Type="http://schemas.openxmlformats.org/officeDocument/2006/relationships/hyperlink" Target="https://doi.org/10.1371/journal.pone.0191011" TargetMode="External"/><Relationship Id="rId87" Type="http://schemas.openxmlformats.org/officeDocument/2006/relationships/hyperlink" Target="https://doi.org/10.1002/ece3.4445" TargetMode="External"/><Relationship Id="rId110" Type="http://schemas.openxmlformats.org/officeDocument/2006/relationships/fontTable" Target="fontTable.xml"/><Relationship Id="rId61" Type="http://schemas.openxmlformats.org/officeDocument/2006/relationships/hyperlink" Target="https://doi.org/10.1017/S0954102015000152" TargetMode="External"/><Relationship Id="rId82" Type="http://schemas.openxmlformats.org/officeDocument/2006/relationships/hyperlink" Target="https://doi.org/10.1371/journal.pone.0055163" TargetMode="External"/><Relationship Id="rId19" Type="http://schemas.openxmlformats.org/officeDocument/2006/relationships/image" Target="media/image5.png"/><Relationship Id="rId14" Type="http://schemas.openxmlformats.org/officeDocument/2006/relationships/hyperlink" Target="https://orcid.org/0000-0002-3198-7878" TargetMode="External"/><Relationship Id="rId30" Type="http://schemas.openxmlformats.org/officeDocument/2006/relationships/hyperlink" Target="https://doi.org/10.48550/arXiv.1406.5823" TargetMode="External"/><Relationship Id="rId35" Type="http://schemas.openxmlformats.org/officeDocument/2006/relationships/hyperlink" Target="https://doi.org/10.1016/j.csda.2005.12.015" TargetMode="External"/><Relationship Id="rId56" Type="http://schemas.openxmlformats.org/officeDocument/2006/relationships/hyperlink" Target="https://doi.org/10.1371/journal.pone.0170132" TargetMode="External"/><Relationship Id="rId77" Type="http://schemas.openxmlformats.org/officeDocument/2006/relationships/hyperlink" Target="https://doi.org/10.1038/s41598-019-44605-5" TargetMode="External"/><Relationship Id="rId100" Type="http://schemas.openxmlformats.org/officeDocument/2006/relationships/hyperlink" Target="https://doi.org/10.2307/1939266" TargetMode="External"/><Relationship Id="rId105" Type="http://schemas.openxmlformats.org/officeDocument/2006/relationships/hyperlink" Target="https://doi.org/10.1007/PL00013371" TargetMode="External"/><Relationship Id="rId8" Type="http://schemas.openxmlformats.org/officeDocument/2006/relationships/hyperlink" Target="https://orcid.org/0000-0002-1019-5062" TargetMode="External"/><Relationship Id="rId51" Type="http://schemas.openxmlformats.org/officeDocument/2006/relationships/hyperlink" Target="https://doi.org/10.1007/s00300-015-1781-1" TargetMode="External"/><Relationship Id="rId72" Type="http://schemas.openxmlformats.org/officeDocument/2006/relationships/hyperlink" Target="https://doi.org/10.3354/meps13208" TargetMode="External"/><Relationship Id="rId93" Type="http://schemas.openxmlformats.org/officeDocument/2006/relationships/hyperlink" Target="https://doi.org/10.1016/j.fishres.2018.07.020" TargetMode="External"/><Relationship Id="rId98" Type="http://schemas.openxmlformats.org/officeDocument/2006/relationships/hyperlink" Target="https://doi.org/10.1002/ecs2.2392" TargetMode="External"/><Relationship Id="rId3" Type="http://schemas.openxmlformats.org/officeDocument/2006/relationships/styles" Target="styles.xml"/><Relationship Id="rId25" Type="http://schemas.openxmlformats.org/officeDocument/2006/relationships/hyperlink" Target="https://doi.org/10.1890/0012-9658(2003)084%5b1598:EGISAT%5d2.0.CO;2" TargetMode="External"/><Relationship Id="rId46" Type="http://schemas.openxmlformats.org/officeDocument/2006/relationships/hyperlink" Target="https://doi.org/10.1007/s003000050301" TargetMode="External"/><Relationship Id="rId67" Type="http://schemas.openxmlformats.org/officeDocument/2006/relationships/hyperlink" Target="https://doi.org/10.1007/s00227-009-1364-1" TargetMode="External"/><Relationship Id="rId20" Type="http://schemas.openxmlformats.org/officeDocument/2006/relationships/image" Target="media/image6.png"/><Relationship Id="rId41" Type="http://schemas.openxmlformats.org/officeDocument/2006/relationships/hyperlink" Target="https://doi.org/10.1007/s00227-008-0974-3" TargetMode="External"/><Relationship Id="rId62" Type="http://schemas.openxmlformats.org/officeDocument/2006/relationships/hyperlink" Target="https://doi.org/10.1007/s00300-017-2191-3" TargetMode="External"/><Relationship Id="rId83" Type="http://schemas.openxmlformats.org/officeDocument/2006/relationships/hyperlink" Target="https://doi.org/10.1038/s41598-018-35901-7" TargetMode="External"/><Relationship Id="rId88" Type="http://schemas.openxmlformats.org/officeDocument/2006/relationships/hyperlink" Target="https://doi.org/10.3354/meps13519" TargetMode="External"/><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nJdFgCE51f92D+mEQ3cWlO0mvw==">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F1EC8F7-B3C6-43A5-96FC-18282FDFE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11501</Words>
  <Characters>65562</Characters>
  <Application>Microsoft Office Word</Application>
  <DocSecurity>0</DocSecurity>
  <Lines>546</Lines>
  <Paragraphs>153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76910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 machado</cp:lastModifiedBy>
  <cp:revision>2</cp:revision>
  <dcterms:created xsi:type="dcterms:W3CDTF">2023-12-29T00:04:00Z</dcterms:created>
  <dcterms:modified xsi:type="dcterms:W3CDTF">2023-12-29T00:04:00Z</dcterms:modified>
</cp:coreProperties>
</file>