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F60F0" w14:textId="77777777" w:rsidR="00A30394" w:rsidRDefault="00A30394" w:rsidP="001A0B67">
      <w:pPr>
        <w:spacing w:after="0" w:line="240" w:lineRule="auto"/>
        <w:jc w:val="center"/>
        <w:rPr>
          <w:rFonts w:ascii="Arial" w:eastAsia="Arial" w:hAnsi="Arial" w:cs="Arial"/>
          <w:b/>
          <w:sz w:val="28"/>
          <w:lang w:val="en-US"/>
        </w:rPr>
      </w:pPr>
    </w:p>
    <w:p w14:paraId="14999DBF" w14:textId="15C24D1A" w:rsidR="00FA13BE" w:rsidRPr="00CC546F" w:rsidRDefault="7411F9F3" w:rsidP="7411F9F3">
      <w:pPr>
        <w:spacing w:after="0" w:line="240" w:lineRule="auto"/>
        <w:jc w:val="center"/>
        <w:rPr>
          <w:rFonts w:eastAsia="Arial"/>
          <w:b/>
          <w:bCs/>
          <w:sz w:val="28"/>
          <w:szCs w:val="28"/>
          <w:lang w:val="en-US"/>
        </w:rPr>
      </w:pPr>
      <w:r w:rsidRPr="7411F9F3">
        <w:rPr>
          <w:rFonts w:eastAsia="Arial"/>
          <w:b/>
          <w:bCs/>
          <w:sz w:val="28"/>
          <w:szCs w:val="28"/>
          <w:lang w:val="en-US"/>
        </w:rPr>
        <w:t xml:space="preserve">Structural and magnetic properties of two complexes based on </w:t>
      </w:r>
      <w:bookmarkStart w:id="0" w:name="_Int_YW1heJ8Q"/>
      <w:proofErr w:type="gramStart"/>
      <w:r w:rsidRPr="7411F9F3">
        <w:rPr>
          <w:rFonts w:eastAsia="Arial"/>
          <w:b/>
          <w:bCs/>
          <w:sz w:val="28"/>
          <w:szCs w:val="28"/>
          <w:lang w:val="en-US"/>
        </w:rPr>
        <w:t>Re(</w:t>
      </w:r>
      <w:bookmarkEnd w:id="0"/>
      <w:proofErr w:type="gramEnd"/>
      <w:r w:rsidRPr="7411F9F3">
        <w:rPr>
          <w:rFonts w:eastAsia="Arial"/>
          <w:b/>
          <w:bCs/>
          <w:sz w:val="28"/>
          <w:szCs w:val="28"/>
          <w:lang w:val="en-US"/>
        </w:rPr>
        <w:t>IV) and 3</w:t>
      </w:r>
      <w:r w:rsidRPr="7411F9F3">
        <w:rPr>
          <w:rFonts w:eastAsia="Arial"/>
          <w:b/>
          <w:bCs/>
          <w:i/>
          <w:iCs/>
          <w:sz w:val="28"/>
          <w:szCs w:val="28"/>
          <w:lang w:val="en-US"/>
        </w:rPr>
        <w:t>d</w:t>
      </w:r>
      <w:r w:rsidRPr="7411F9F3">
        <w:rPr>
          <w:rFonts w:eastAsia="Arial"/>
          <w:b/>
          <w:bCs/>
          <w:sz w:val="28"/>
          <w:szCs w:val="28"/>
          <w:lang w:val="en-US"/>
        </w:rPr>
        <w:t xml:space="preserve"> metal ions</w:t>
      </w:r>
    </w:p>
    <w:p w14:paraId="364D3B5C" w14:textId="0D833E3D" w:rsidR="00FA13BE" w:rsidRPr="00CC546F" w:rsidRDefault="7411F9F3" w:rsidP="7411F9F3">
      <w:pPr>
        <w:spacing w:after="0" w:line="240" w:lineRule="auto"/>
        <w:jc w:val="center"/>
        <w:rPr>
          <w:rFonts w:eastAsia="Arial"/>
          <w:b/>
          <w:bCs/>
          <w:sz w:val="28"/>
          <w:szCs w:val="28"/>
          <w:lang w:val="en-US"/>
        </w:rPr>
      </w:pPr>
      <w:r w:rsidRPr="7411F9F3">
        <w:rPr>
          <w:rFonts w:eastAsia="Arial"/>
          <w:b/>
          <w:bCs/>
          <w:lang w:val="en-US"/>
        </w:rPr>
        <w:t xml:space="preserve"> </w:t>
      </w:r>
    </w:p>
    <w:p w14:paraId="018205FB" w14:textId="635B069C" w:rsidR="498119D9" w:rsidRPr="00854BAC" w:rsidRDefault="0281DC31" w:rsidP="498119D9">
      <w:pPr>
        <w:spacing w:before="120" w:after="120" w:line="240" w:lineRule="auto"/>
        <w:jc w:val="center"/>
        <w:rPr>
          <w:rFonts w:eastAsia="Arial"/>
          <w:b/>
          <w:bCs/>
          <w:sz w:val="24"/>
          <w:szCs w:val="24"/>
          <w:lang w:val="es-UY"/>
        </w:rPr>
      </w:pPr>
      <w:r w:rsidRPr="0281DC31">
        <w:rPr>
          <w:rFonts w:eastAsia="Arial"/>
          <w:b/>
          <w:bCs/>
          <w:sz w:val="24"/>
          <w:szCs w:val="24"/>
          <w:u w:val="single"/>
          <w:lang w:val="fr-FR"/>
        </w:rPr>
        <w:t>M. Martirena Otero</w:t>
      </w:r>
      <w:r w:rsidRPr="0281DC31">
        <w:rPr>
          <w:rFonts w:eastAsia="Arial"/>
          <w:b/>
          <w:bCs/>
          <w:sz w:val="24"/>
          <w:szCs w:val="24"/>
          <w:u w:val="single"/>
          <w:vertAlign w:val="superscript"/>
          <w:lang w:val="fr-FR"/>
        </w:rPr>
        <w:t>1</w:t>
      </w:r>
      <w:r w:rsidRPr="0281DC31">
        <w:rPr>
          <w:rFonts w:eastAsia="Arial"/>
          <w:b/>
          <w:bCs/>
          <w:sz w:val="24"/>
          <w:szCs w:val="24"/>
          <w:lang w:val="fr-FR"/>
        </w:rPr>
        <w:t>, A. Grenni</w:t>
      </w:r>
      <w:r w:rsidRPr="0281DC31">
        <w:rPr>
          <w:rFonts w:eastAsia="Arial"/>
          <w:b/>
          <w:bCs/>
          <w:sz w:val="24"/>
          <w:szCs w:val="24"/>
          <w:vertAlign w:val="superscript"/>
          <w:lang w:val="fr-FR"/>
        </w:rPr>
        <w:t>1</w:t>
      </w:r>
      <w:r w:rsidRPr="0281DC31">
        <w:rPr>
          <w:rFonts w:eastAsia="Arial"/>
          <w:b/>
          <w:bCs/>
          <w:sz w:val="24"/>
          <w:szCs w:val="24"/>
          <w:lang w:val="fr-FR"/>
        </w:rPr>
        <w:t>, N. Moliner</w:t>
      </w:r>
      <w:r w:rsidRPr="0281DC31">
        <w:rPr>
          <w:rFonts w:eastAsia="Arial"/>
          <w:b/>
          <w:bCs/>
          <w:sz w:val="24"/>
          <w:szCs w:val="24"/>
          <w:vertAlign w:val="superscript"/>
          <w:lang w:val="fr-FR"/>
        </w:rPr>
        <w:t>2</w:t>
      </w:r>
      <w:r w:rsidRPr="0281DC31">
        <w:rPr>
          <w:rFonts w:eastAsia="Arial"/>
          <w:b/>
          <w:bCs/>
          <w:sz w:val="24"/>
          <w:szCs w:val="24"/>
          <w:lang w:val="fr-FR"/>
        </w:rPr>
        <w:t>, J. Cano</w:t>
      </w:r>
      <w:r w:rsidRPr="0281DC31">
        <w:rPr>
          <w:rFonts w:eastAsia="Arial"/>
          <w:b/>
          <w:bCs/>
          <w:sz w:val="24"/>
          <w:szCs w:val="24"/>
          <w:vertAlign w:val="superscript"/>
          <w:lang w:val="fr-FR"/>
        </w:rPr>
        <w:t>2</w:t>
      </w:r>
      <w:r w:rsidRPr="0281DC31">
        <w:rPr>
          <w:rFonts w:eastAsia="Arial"/>
          <w:b/>
          <w:bCs/>
          <w:sz w:val="24"/>
          <w:szCs w:val="24"/>
          <w:lang w:val="fr-FR"/>
        </w:rPr>
        <w:t>, L. Suescun</w:t>
      </w:r>
      <w:r w:rsidRPr="0281DC31">
        <w:rPr>
          <w:rFonts w:eastAsia="Arial"/>
          <w:b/>
          <w:bCs/>
          <w:sz w:val="24"/>
          <w:szCs w:val="24"/>
          <w:vertAlign w:val="superscript"/>
          <w:lang w:val="fr-FR"/>
        </w:rPr>
        <w:t>3</w:t>
      </w:r>
      <w:r w:rsidRPr="0281DC31">
        <w:rPr>
          <w:rFonts w:eastAsia="Arial"/>
          <w:b/>
          <w:bCs/>
          <w:sz w:val="24"/>
          <w:szCs w:val="24"/>
          <w:lang w:val="fr-FR"/>
        </w:rPr>
        <w:t>,</w:t>
      </w:r>
      <w:r w:rsidRPr="0281DC31">
        <w:rPr>
          <w:rFonts w:eastAsia="Arial"/>
          <w:b/>
          <w:bCs/>
          <w:sz w:val="24"/>
          <w:szCs w:val="24"/>
          <w:vertAlign w:val="superscript"/>
          <w:lang w:val="fr-FR"/>
        </w:rPr>
        <w:t xml:space="preserve"> </w:t>
      </w:r>
      <w:r w:rsidRPr="0281DC31">
        <w:rPr>
          <w:rFonts w:eastAsia="Arial"/>
          <w:b/>
          <w:bCs/>
          <w:sz w:val="24"/>
          <w:szCs w:val="24"/>
          <w:lang w:val="fr-FR"/>
        </w:rPr>
        <w:t>C. Rojas</w:t>
      </w:r>
      <w:r w:rsidRPr="0281DC31">
        <w:rPr>
          <w:rFonts w:eastAsia="Arial"/>
          <w:b/>
          <w:bCs/>
          <w:sz w:val="24"/>
          <w:szCs w:val="24"/>
          <w:vertAlign w:val="superscript"/>
          <w:lang w:val="fr-FR"/>
        </w:rPr>
        <w:t>1</w:t>
      </w:r>
      <w:r w:rsidRPr="0281DC31">
        <w:rPr>
          <w:rFonts w:eastAsia="Arial"/>
          <w:b/>
          <w:bCs/>
          <w:sz w:val="24"/>
          <w:szCs w:val="24"/>
          <w:lang w:val="fr-FR"/>
        </w:rPr>
        <w:t>, R. González</w:t>
      </w:r>
      <w:r w:rsidRPr="0281DC31">
        <w:rPr>
          <w:rFonts w:eastAsia="Arial"/>
          <w:b/>
          <w:bCs/>
          <w:sz w:val="24"/>
          <w:szCs w:val="24"/>
          <w:vertAlign w:val="superscript"/>
          <w:lang w:val="fr-FR"/>
        </w:rPr>
        <w:t>1</w:t>
      </w:r>
      <w:r w:rsidRPr="0281DC31">
        <w:rPr>
          <w:rFonts w:eastAsia="Arial"/>
          <w:b/>
          <w:bCs/>
          <w:sz w:val="24"/>
          <w:szCs w:val="24"/>
          <w:lang w:val="fr-FR"/>
        </w:rPr>
        <w:t xml:space="preserve">  </w:t>
      </w:r>
    </w:p>
    <w:p w14:paraId="117F24AA" w14:textId="3BC719E7" w:rsidR="00FA13BE" w:rsidRPr="00CC546F" w:rsidRDefault="7411F9F3" w:rsidP="7411F9F3">
      <w:pPr>
        <w:spacing w:after="0" w:line="240" w:lineRule="auto"/>
        <w:jc w:val="center"/>
        <w:rPr>
          <w:rFonts w:eastAsia="Arial"/>
          <w:i/>
          <w:iCs/>
          <w:lang w:val="es-ES"/>
        </w:rPr>
      </w:pPr>
      <w:r w:rsidRPr="7411F9F3">
        <w:rPr>
          <w:rFonts w:eastAsia="Arial"/>
          <w:i/>
          <w:iCs/>
          <w:vertAlign w:val="superscript"/>
          <w:lang w:val="es-ES"/>
        </w:rPr>
        <w:t xml:space="preserve">1 </w:t>
      </w:r>
      <w:bookmarkStart w:id="1" w:name="_Int_AuCIJNdt"/>
      <w:proofErr w:type="gramStart"/>
      <w:r w:rsidRPr="7411F9F3">
        <w:rPr>
          <w:rFonts w:eastAsia="Arial"/>
          <w:i/>
          <w:iCs/>
          <w:lang w:val="es-ES"/>
        </w:rPr>
        <w:t>Área</w:t>
      </w:r>
      <w:bookmarkEnd w:id="1"/>
      <w:proofErr w:type="gramEnd"/>
      <w:r w:rsidRPr="7411F9F3">
        <w:rPr>
          <w:rFonts w:eastAsia="Arial"/>
          <w:i/>
          <w:iCs/>
          <w:lang w:val="es-ES"/>
        </w:rPr>
        <w:t xml:space="preserve"> Química Inorgánica, Universidad de la República, Montevideo, Uruguay</w:t>
      </w:r>
    </w:p>
    <w:p w14:paraId="69F359FA" w14:textId="060493B4" w:rsidR="498119D9" w:rsidRDefault="7411F9F3" w:rsidP="7411F9F3">
      <w:pPr>
        <w:spacing w:after="0" w:line="240" w:lineRule="auto"/>
        <w:jc w:val="center"/>
        <w:rPr>
          <w:rFonts w:eastAsia="Arial"/>
          <w:i/>
          <w:iCs/>
          <w:lang w:val="es-ES"/>
        </w:rPr>
      </w:pPr>
      <w:r w:rsidRPr="7411F9F3">
        <w:rPr>
          <w:rFonts w:eastAsia="Arial"/>
          <w:i/>
          <w:iCs/>
          <w:vertAlign w:val="superscript"/>
          <w:lang w:val="es-ES"/>
        </w:rPr>
        <w:t xml:space="preserve">2 </w:t>
      </w:r>
      <w:bookmarkStart w:id="2" w:name="_Int_ubzrkv71"/>
      <w:proofErr w:type="gramStart"/>
      <w:r w:rsidRPr="7411F9F3">
        <w:rPr>
          <w:rFonts w:eastAsia="Arial"/>
          <w:i/>
          <w:iCs/>
          <w:lang w:val="es-ES"/>
        </w:rPr>
        <w:t>Instituto</w:t>
      </w:r>
      <w:bookmarkEnd w:id="2"/>
      <w:proofErr w:type="gramEnd"/>
      <w:r w:rsidRPr="7411F9F3">
        <w:rPr>
          <w:rFonts w:eastAsia="Arial"/>
          <w:i/>
          <w:iCs/>
          <w:lang w:val="es-ES"/>
        </w:rPr>
        <w:t xml:space="preserve"> de Ciencia Molecular, Universidad de Valencia, Valencia, Spain</w:t>
      </w:r>
    </w:p>
    <w:p w14:paraId="26F18207" w14:textId="2D961B32" w:rsidR="0281DC31" w:rsidRDefault="0281DC31" w:rsidP="0281DC31">
      <w:pPr>
        <w:spacing w:after="0" w:line="240" w:lineRule="auto"/>
        <w:jc w:val="center"/>
        <w:rPr>
          <w:rFonts w:eastAsia="Arial"/>
          <w:i/>
          <w:iCs/>
          <w:lang w:val="es-ES"/>
        </w:rPr>
      </w:pPr>
      <w:r w:rsidRPr="0281DC31">
        <w:rPr>
          <w:i/>
          <w:iCs/>
          <w:vertAlign w:val="superscript"/>
          <w:lang w:val="es-UY"/>
        </w:rPr>
        <w:t>3</w:t>
      </w:r>
      <w:r w:rsidRPr="0281DC31">
        <w:rPr>
          <w:i/>
          <w:iCs/>
          <w:lang w:val="es-UY"/>
        </w:rPr>
        <w:t>Cryssmat-Lab, Universidad de la República, Montevideo, Uruguay</w:t>
      </w:r>
    </w:p>
    <w:p w14:paraId="1B9BAEDB" w14:textId="09EC058D" w:rsidR="00FA13BE" w:rsidRPr="007C4C3C" w:rsidRDefault="3DBAA159" w:rsidP="3DBAA159">
      <w:pPr>
        <w:spacing w:after="0" w:line="240" w:lineRule="auto"/>
        <w:jc w:val="center"/>
        <w:rPr>
          <w:rFonts w:eastAsia="Arial"/>
          <w:i/>
          <w:iCs/>
          <w:lang w:val="en-US"/>
        </w:rPr>
      </w:pPr>
      <w:r w:rsidRPr="007C4C3C">
        <w:rPr>
          <w:rFonts w:eastAsia="Arial"/>
          <w:i/>
          <w:iCs/>
          <w:lang w:val="en-US"/>
        </w:rPr>
        <w:t xml:space="preserve">E-mail: </w:t>
      </w:r>
      <w:r>
        <w:fldChar w:fldCharType="begin"/>
      </w:r>
      <w:r>
        <w:instrText>HYPERLINK "mailto:example@yyyy.xxy" \h</w:instrText>
      </w:r>
      <w:r>
        <w:fldChar w:fldCharType="separate"/>
      </w:r>
      <w:r w:rsidRPr="007C4C3C">
        <w:rPr>
          <w:rStyle w:val="Hipervnculo"/>
          <w:rFonts w:eastAsia="Arial"/>
          <w:i/>
          <w:iCs/>
          <w:lang w:val="en-US"/>
        </w:rPr>
        <w:t>mmartirena@fq.edu.uy</w:t>
      </w:r>
      <w:r>
        <w:fldChar w:fldCharType="end"/>
      </w:r>
    </w:p>
    <w:p w14:paraId="3E8FC9F2" w14:textId="791FB1B7" w:rsidR="00FA13BE" w:rsidRPr="007C4C3C" w:rsidRDefault="7411F9F3" w:rsidP="7411F9F3">
      <w:pPr>
        <w:spacing w:after="0" w:line="360" w:lineRule="auto"/>
        <w:jc w:val="center"/>
        <w:rPr>
          <w:rFonts w:eastAsia="Arial"/>
          <w:i/>
          <w:iCs/>
          <w:lang w:val="en-US"/>
        </w:rPr>
      </w:pPr>
      <w:r w:rsidRPr="007C4C3C">
        <w:rPr>
          <w:rFonts w:eastAsia="Arial"/>
          <w:i/>
          <w:iCs/>
          <w:sz w:val="16"/>
          <w:szCs w:val="16"/>
          <w:lang w:val="en-US"/>
        </w:rPr>
        <w:t xml:space="preserve"> </w:t>
      </w:r>
    </w:p>
    <w:p w14:paraId="2D432035" w14:textId="7FAB03DB" w:rsidR="00FA13BE" w:rsidRPr="00CC546F" w:rsidRDefault="00C83423" w:rsidP="498119D9">
      <w:pPr>
        <w:spacing w:before="100" w:after="100" w:line="240" w:lineRule="auto"/>
        <w:rPr>
          <w:rFonts w:eastAsia="Arial"/>
          <w:shd w:val="clear" w:color="auto" w:fill="FFFFFF"/>
        </w:rPr>
      </w:pPr>
      <w:proofErr w:type="spellStart"/>
      <w:r w:rsidRPr="498119D9">
        <w:rPr>
          <w:rFonts w:eastAsia="Arial"/>
          <w:b/>
          <w:bCs/>
          <w:shd w:val="clear" w:color="auto" w:fill="FFFFFF"/>
        </w:rPr>
        <w:t>Thematic</w:t>
      </w:r>
      <w:proofErr w:type="spellEnd"/>
      <w:r w:rsidRPr="498119D9">
        <w:rPr>
          <w:rFonts w:eastAsia="Arial"/>
          <w:b/>
          <w:bCs/>
          <w:shd w:val="clear" w:color="auto" w:fill="FFFFFF"/>
        </w:rPr>
        <w:t xml:space="preserve"> Area</w:t>
      </w:r>
      <w:r w:rsidRPr="498119D9">
        <w:rPr>
          <w:rFonts w:eastAsia="Arial"/>
          <w:shd w:val="clear" w:color="auto" w:fill="FFFFFF"/>
        </w:rPr>
        <w:t xml:space="preserve">: </w:t>
      </w:r>
      <w:proofErr w:type="spellStart"/>
      <w:r w:rsidRPr="498119D9">
        <w:rPr>
          <w:rFonts w:eastAsia="Arial"/>
          <w:shd w:val="clear" w:color="auto" w:fill="FFFFFF"/>
        </w:rPr>
        <w:t>Materials</w:t>
      </w:r>
      <w:proofErr w:type="spellEnd"/>
      <w:r w:rsidRPr="498119D9">
        <w:rPr>
          <w:rFonts w:eastAsia="Arial"/>
          <w:shd w:val="clear" w:color="auto" w:fill="FFFFFF"/>
        </w:rPr>
        <w:t xml:space="preserve"> Chemistry</w:t>
      </w:r>
    </w:p>
    <w:p w14:paraId="03375C30" w14:textId="76A1213D" w:rsidR="00FA13BE" w:rsidRPr="00CC546F" w:rsidRDefault="498119D9" w:rsidP="498119D9">
      <w:pPr>
        <w:spacing w:after="0" w:line="360" w:lineRule="auto"/>
        <w:jc w:val="both"/>
        <w:rPr>
          <w:rFonts w:eastAsia="Arial"/>
          <w:sz w:val="20"/>
          <w:szCs w:val="20"/>
          <w:lang w:val="en-US"/>
        </w:rPr>
      </w:pPr>
      <w:r w:rsidRPr="498119D9">
        <w:rPr>
          <w:rFonts w:eastAsia="Arial"/>
          <w:b/>
          <w:bCs/>
          <w:lang w:val="en-US"/>
        </w:rPr>
        <w:t>Keywords</w:t>
      </w:r>
      <w:r w:rsidRPr="498119D9">
        <w:rPr>
          <w:rFonts w:eastAsia="Arial"/>
          <w:lang w:val="en-US"/>
        </w:rPr>
        <w:t>: Coordination chemistry, Crystallography, Molecular Magnetism.</w:t>
      </w:r>
    </w:p>
    <w:p w14:paraId="7DD8431F" w14:textId="6805250C" w:rsidR="00FA13BE" w:rsidRPr="00CC546F" w:rsidRDefault="00FA13BE" w:rsidP="7411F9F3">
      <w:pPr>
        <w:spacing w:after="0" w:line="360" w:lineRule="auto"/>
        <w:jc w:val="both"/>
        <w:rPr>
          <w:rFonts w:eastAsia="Arial"/>
          <w:sz w:val="12"/>
          <w:szCs w:val="12"/>
          <w:lang w:val="en-US"/>
        </w:rPr>
      </w:pPr>
    </w:p>
    <w:p w14:paraId="76CE47D3" w14:textId="29BC1F9E" w:rsidR="4EAAA6B6" w:rsidRDefault="7411F9F3" w:rsidP="7411F9F3">
      <w:pPr>
        <w:spacing w:after="0" w:line="240" w:lineRule="auto"/>
        <w:jc w:val="both"/>
        <w:rPr>
          <w:rFonts w:eastAsia="Arial"/>
          <w:lang w:val="en-US"/>
        </w:rPr>
      </w:pPr>
      <w:r w:rsidRPr="7411F9F3">
        <w:rPr>
          <w:rFonts w:eastAsia="Arial"/>
          <w:lang w:val="en-US"/>
        </w:rPr>
        <w:t>Molecular magnetism is an on-growing area of research that has been interlinked with several subareas of chemistry and physics such as coordination and supramolecular chemistry, solid-state physics, and crystallography, among others. Historically most research has been focused on 3</w:t>
      </w:r>
      <w:r w:rsidRPr="7411F9F3">
        <w:rPr>
          <w:rFonts w:eastAsia="Arial"/>
          <w:i/>
          <w:iCs/>
          <w:lang w:val="en-US"/>
        </w:rPr>
        <w:t>d</w:t>
      </w:r>
      <w:r w:rsidRPr="7411F9F3">
        <w:rPr>
          <w:rFonts w:eastAsia="Arial"/>
          <w:lang w:val="en-US"/>
        </w:rPr>
        <w:t xml:space="preserve"> and 4</w:t>
      </w:r>
      <w:r w:rsidRPr="7411F9F3">
        <w:rPr>
          <w:rFonts w:eastAsia="Arial"/>
          <w:i/>
          <w:iCs/>
          <w:lang w:val="en-US"/>
        </w:rPr>
        <w:t>f</w:t>
      </w:r>
      <w:r w:rsidRPr="7411F9F3">
        <w:rPr>
          <w:rFonts w:eastAsia="Arial"/>
          <w:lang w:val="en-US"/>
        </w:rPr>
        <w:t xml:space="preserve"> metal complexes, however, this leaves out other metals as possible spin carriers.</w:t>
      </w:r>
      <w:r w:rsidRPr="7411F9F3">
        <w:rPr>
          <w:rFonts w:eastAsia="Arial"/>
          <w:vertAlign w:val="superscript"/>
          <w:lang w:val="en-US"/>
        </w:rPr>
        <w:t>[1,2]</w:t>
      </w:r>
      <w:r w:rsidRPr="7411F9F3">
        <w:rPr>
          <w:rFonts w:eastAsia="Arial"/>
          <w:lang w:val="en-US"/>
        </w:rPr>
        <w:t xml:space="preserve"> In this regard, rhenium(IV) opens a new vary of possibilities, excelling among the heavy transition elements due to its S = </w:t>
      </w:r>
      <w:r w:rsidRPr="7411F9F3">
        <w:rPr>
          <w:rFonts w:eastAsia="Arial"/>
          <w:vertAlign w:val="superscript"/>
          <w:lang w:val="en-US"/>
        </w:rPr>
        <w:t>3</w:t>
      </w:r>
      <w:r w:rsidRPr="7411F9F3">
        <w:rPr>
          <w:rFonts w:eastAsia="Arial"/>
          <w:lang w:val="en-US"/>
        </w:rPr>
        <w:t>/</w:t>
      </w:r>
      <w:r w:rsidRPr="7411F9F3">
        <w:rPr>
          <w:rFonts w:eastAsia="Arial"/>
          <w:vertAlign w:val="subscript"/>
          <w:lang w:val="en-US"/>
        </w:rPr>
        <w:t>2</w:t>
      </w:r>
      <w:r w:rsidRPr="7411F9F3">
        <w:rPr>
          <w:rFonts w:eastAsia="Arial"/>
          <w:lang w:val="en-US"/>
        </w:rPr>
        <w:t xml:space="preserve"> spin configuration and its high spin-orbit coupling constant. Adding up to this, </w:t>
      </w:r>
      <w:bookmarkStart w:id="3" w:name="_Int_ry9NGelE"/>
      <w:proofErr w:type="gramStart"/>
      <w:r w:rsidRPr="7411F9F3">
        <w:rPr>
          <w:rFonts w:eastAsia="Arial"/>
          <w:lang w:val="en-US"/>
        </w:rPr>
        <w:t>rhenium(</w:t>
      </w:r>
      <w:bookmarkEnd w:id="3"/>
      <w:proofErr w:type="gramEnd"/>
      <w:r w:rsidRPr="7411F9F3">
        <w:rPr>
          <w:rFonts w:eastAsia="Arial"/>
          <w:lang w:val="en-US"/>
        </w:rPr>
        <w:t>IV) complexes have high magnetic anisotropy of the ground state, making them an interesting choice of metalloligands by designing a complex able to coordinate to another metal center.</w:t>
      </w:r>
    </w:p>
    <w:p w14:paraId="3407C5C1" w14:textId="204F53D8" w:rsidR="00FA13BE" w:rsidRPr="00CC546F" w:rsidRDefault="7411F9F3" w:rsidP="7411F9F3">
      <w:pPr>
        <w:spacing w:after="0" w:line="240" w:lineRule="auto"/>
        <w:jc w:val="both"/>
        <w:rPr>
          <w:rFonts w:eastAsia="Arial"/>
          <w:lang w:val="en-US"/>
        </w:rPr>
      </w:pPr>
      <w:r w:rsidRPr="7411F9F3">
        <w:rPr>
          <w:rFonts w:eastAsia="Arial"/>
          <w:lang w:val="en-US"/>
        </w:rPr>
        <w:t xml:space="preserve">This work describes the synthesis as well as the structural and magnetic characterization of novel compounds obtained from using the ligand </w:t>
      </w:r>
      <w:bookmarkStart w:id="4" w:name="_Int_EYaTJdbp"/>
      <w:proofErr w:type="gramStart"/>
      <w:r w:rsidRPr="7411F9F3">
        <w:rPr>
          <w:rFonts w:eastAsia="Arial"/>
          <w:lang w:val="en-US"/>
        </w:rPr>
        <w:t>N,N</w:t>
      </w:r>
      <w:bookmarkEnd w:id="4"/>
      <w:proofErr w:type="gramEnd"/>
      <w:r w:rsidRPr="7411F9F3">
        <w:rPr>
          <w:rFonts w:eastAsia="Arial"/>
          <w:lang w:val="en-US"/>
        </w:rPr>
        <w:t>-</w:t>
      </w:r>
      <w:bookmarkStart w:id="5" w:name="_Int_HmvleE3x"/>
      <w:proofErr w:type="gramStart"/>
      <w:r w:rsidRPr="7411F9F3">
        <w:rPr>
          <w:rFonts w:eastAsia="Arial"/>
          <w:lang w:val="en-US"/>
        </w:rPr>
        <w:t>bis(</w:t>
      </w:r>
      <w:bookmarkEnd w:id="5"/>
      <w:proofErr w:type="gramEnd"/>
      <w:r w:rsidRPr="7411F9F3">
        <w:rPr>
          <w:rFonts w:eastAsia="Arial"/>
          <w:lang w:val="en-US"/>
        </w:rPr>
        <w:t xml:space="preserve">3-methoxy </w:t>
      </w:r>
      <w:proofErr w:type="spellStart"/>
      <w:r w:rsidRPr="7411F9F3">
        <w:rPr>
          <w:rFonts w:eastAsia="Arial"/>
          <w:lang w:val="en-US"/>
        </w:rPr>
        <w:t>salicylidene</w:t>
      </w:r>
      <w:proofErr w:type="spellEnd"/>
      <w:r w:rsidRPr="7411F9F3">
        <w:rPr>
          <w:rFonts w:eastAsia="Arial"/>
          <w:lang w:val="en-US"/>
        </w:rPr>
        <w:t>) hydrazine (H</w:t>
      </w:r>
      <w:r w:rsidRPr="7411F9F3">
        <w:rPr>
          <w:rFonts w:eastAsia="Arial"/>
          <w:vertAlign w:val="subscript"/>
          <w:lang w:val="en-US"/>
        </w:rPr>
        <w:t>2</w:t>
      </w:r>
      <w:r w:rsidRPr="7411F9F3">
        <w:rPr>
          <w:rFonts w:eastAsia="Arial"/>
          <w:lang w:val="en-US"/>
        </w:rPr>
        <w:t xml:space="preserve">hydva) and </w:t>
      </w:r>
      <w:bookmarkStart w:id="6" w:name="_Int_zkaIXvGk"/>
      <w:proofErr w:type="gramStart"/>
      <w:r w:rsidRPr="7411F9F3">
        <w:rPr>
          <w:rFonts w:eastAsia="Arial"/>
          <w:lang w:val="en-US"/>
        </w:rPr>
        <w:t>rhenium(</w:t>
      </w:r>
      <w:bookmarkEnd w:id="6"/>
      <w:proofErr w:type="gramEnd"/>
      <w:r w:rsidRPr="7411F9F3">
        <w:rPr>
          <w:rFonts w:eastAsia="Arial"/>
          <w:lang w:val="en-US"/>
        </w:rPr>
        <w:t>IV) metaloligands. For the synthesis, the polydentate H</w:t>
      </w:r>
      <w:r w:rsidRPr="7411F9F3">
        <w:rPr>
          <w:rFonts w:eastAsia="Arial"/>
          <w:vertAlign w:val="subscript"/>
          <w:lang w:val="en-US"/>
        </w:rPr>
        <w:t>2</w:t>
      </w:r>
      <w:r w:rsidRPr="7411F9F3">
        <w:rPr>
          <w:rFonts w:eastAsia="Arial"/>
          <w:lang w:val="en-US"/>
        </w:rPr>
        <w:t>hydva ligand is firstly obtained by condensing o-vanillin with hydrazine. Once isolated, H</w:t>
      </w:r>
      <w:r w:rsidRPr="7411F9F3">
        <w:rPr>
          <w:rFonts w:eastAsia="Arial"/>
          <w:vertAlign w:val="subscript"/>
          <w:lang w:val="en-US"/>
        </w:rPr>
        <w:t>2</w:t>
      </w:r>
      <w:r w:rsidRPr="7411F9F3">
        <w:rPr>
          <w:rFonts w:eastAsia="Arial"/>
          <w:lang w:val="en-US"/>
        </w:rPr>
        <w:t>hydva is reacted with 3</w:t>
      </w:r>
      <w:r w:rsidRPr="7411F9F3">
        <w:rPr>
          <w:rFonts w:eastAsia="Arial"/>
          <w:i/>
          <w:iCs/>
          <w:lang w:val="en-US"/>
        </w:rPr>
        <w:t>d</w:t>
      </w:r>
      <w:r w:rsidRPr="7411F9F3">
        <w:rPr>
          <w:rFonts w:eastAsia="Arial"/>
          <w:lang w:val="en-US"/>
        </w:rPr>
        <w:t xml:space="preserve"> ions, and additionally a </w:t>
      </w:r>
      <w:bookmarkStart w:id="7" w:name="_Int_CEuSKZtJ"/>
      <w:proofErr w:type="gramStart"/>
      <w:r w:rsidRPr="7411F9F3">
        <w:rPr>
          <w:rFonts w:eastAsia="Arial"/>
          <w:lang w:val="en-US"/>
        </w:rPr>
        <w:t>rhenium(</w:t>
      </w:r>
      <w:bookmarkEnd w:id="7"/>
      <w:proofErr w:type="gramEnd"/>
      <w:r w:rsidRPr="7411F9F3">
        <w:rPr>
          <w:rFonts w:eastAsia="Arial"/>
          <w:lang w:val="en-US"/>
        </w:rPr>
        <w:t>IV) metalloligand (able to coordinate to the 3</w:t>
      </w:r>
      <w:r w:rsidRPr="7411F9F3">
        <w:rPr>
          <w:rFonts w:eastAsia="Arial"/>
          <w:i/>
          <w:iCs/>
          <w:lang w:val="en-US"/>
        </w:rPr>
        <w:t>d</w:t>
      </w:r>
      <w:r w:rsidRPr="7411F9F3">
        <w:rPr>
          <w:rFonts w:eastAsia="Arial"/>
          <w:lang w:val="en-US"/>
        </w:rPr>
        <w:t xml:space="preserve"> ion) is added to increase the nuclearity of the compounds. Finally, the structural and magnetic properties of the complexes have been studied.</w:t>
      </w:r>
    </w:p>
    <w:p w14:paraId="2A970D36" w14:textId="13DFD01B" w:rsidR="7411F9F3" w:rsidRDefault="7411F9F3" w:rsidP="7411F9F3">
      <w:pPr>
        <w:spacing w:after="0" w:line="240" w:lineRule="auto"/>
        <w:jc w:val="both"/>
        <w:rPr>
          <w:rFonts w:ascii="Calibri" w:eastAsia="Calibri" w:hAnsi="Calibri" w:cs="Calibri"/>
          <w:lang w:val="en-US"/>
        </w:rPr>
      </w:pPr>
      <w:r w:rsidRPr="7411F9F3">
        <w:rPr>
          <w:rFonts w:eastAsia="Arial"/>
          <w:lang w:val="en-US"/>
        </w:rPr>
        <w:t xml:space="preserve">Hence, details of the structural and magnetic characterization of the heteropolynuclear compounds are presented here. An example of one of the </w:t>
      </w:r>
      <w:proofErr w:type="gramStart"/>
      <w:r w:rsidRPr="7411F9F3">
        <w:rPr>
          <w:rFonts w:eastAsia="Arial"/>
          <w:lang w:val="en-US"/>
        </w:rPr>
        <w:t>obtained compounds</w:t>
      </w:r>
      <w:proofErr w:type="gramEnd"/>
      <w:r w:rsidRPr="7411F9F3">
        <w:rPr>
          <w:rFonts w:eastAsia="Arial"/>
          <w:lang w:val="en-US"/>
        </w:rPr>
        <w:t xml:space="preserve"> can be found in Figure 1. The hexanuclear complex has four </w:t>
      </w:r>
      <w:bookmarkStart w:id="8" w:name="_Int_Cr1HJQEr"/>
      <w:proofErr w:type="gramStart"/>
      <w:r w:rsidRPr="7411F9F3">
        <w:rPr>
          <w:rFonts w:eastAsia="Arial"/>
          <w:lang w:val="en-US"/>
        </w:rPr>
        <w:t>Mn(</w:t>
      </w:r>
      <w:bookmarkEnd w:id="8"/>
      <w:proofErr w:type="gramEnd"/>
      <w:r w:rsidRPr="7411F9F3">
        <w:rPr>
          <w:rFonts w:eastAsia="Arial"/>
          <w:lang w:val="en-US"/>
        </w:rPr>
        <w:t>II) centers, two [</w:t>
      </w:r>
      <w:r w:rsidRPr="7411F9F3">
        <w:rPr>
          <w:rFonts w:ascii="Calibri" w:eastAsia="Calibri" w:hAnsi="Calibri" w:cs="Calibri"/>
          <w:color w:val="000000" w:themeColor="text1"/>
          <w:lang w:val="en-US"/>
        </w:rPr>
        <w:t>ReBr</w:t>
      </w:r>
      <w:r w:rsidRPr="7411F9F3">
        <w:rPr>
          <w:rFonts w:ascii="Calibri" w:eastAsia="Calibri" w:hAnsi="Calibri" w:cs="Calibri"/>
          <w:color w:val="000000" w:themeColor="text1"/>
          <w:vertAlign w:val="subscript"/>
          <w:lang w:val="en-US"/>
        </w:rPr>
        <w:t>5</w:t>
      </w:r>
      <w:r w:rsidRPr="7411F9F3">
        <w:rPr>
          <w:rFonts w:ascii="Calibri" w:eastAsia="Calibri" w:hAnsi="Calibri" w:cs="Calibri"/>
          <w:color w:val="000000" w:themeColor="text1"/>
          <w:lang w:val="en-US"/>
        </w:rPr>
        <w:t>(</w:t>
      </w:r>
      <w:proofErr w:type="spellStart"/>
      <w:r w:rsidRPr="7411F9F3">
        <w:rPr>
          <w:rFonts w:ascii="Calibri" w:eastAsia="Calibri" w:hAnsi="Calibri" w:cs="Calibri"/>
          <w:color w:val="000000" w:themeColor="text1"/>
          <w:lang w:val="en-US"/>
        </w:rPr>
        <w:t>H</w:t>
      </w:r>
      <w:r w:rsidRPr="7411F9F3">
        <w:rPr>
          <w:rFonts w:ascii="Calibri" w:eastAsia="Calibri" w:hAnsi="Calibri" w:cs="Calibri"/>
          <w:color w:val="000000" w:themeColor="text1"/>
          <w:vertAlign w:val="superscript"/>
          <w:lang w:val="en-US"/>
        </w:rPr>
        <w:t>i</w:t>
      </w:r>
      <w:r w:rsidRPr="7411F9F3">
        <w:rPr>
          <w:rFonts w:ascii="Calibri" w:eastAsia="Calibri" w:hAnsi="Calibri" w:cs="Calibri"/>
          <w:color w:val="000000" w:themeColor="text1"/>
          <w:lang w:val="en-US"/>
        </w:rPr>
        <w:t>nic</w:t>
      </w:r>
      <w:proofErr w:type="spellEnd"/>
      <w:r w:rsidRPr="7411F9F3">
        <w:rPr>
          <w:rFonts w:ascii="Calibri" w:eastAsia="Calibri" w:hAnsi="Calibri" w:cs="Calibri"/>
          <w:color w:val="000000" w:themeColor="text1"/>
          <w:lang w:val="en-US"/>
        </w:rPr>
        <w:t>)]</w:t>
      </w:r>
      <w:r w:rsidRPr="7411F9F3">
        <w:rPr>
          <w:rFonts w:ascii="Calibri" w:eastAsia="Calibri" w:hAnsi="Calibri" w:cs="Calibri"/>
          <w:color w:val="000000" w:themeColor="text1"/>
          <w:vertAlign w:val="superscript"/>
          <w:lang w:val="en-US"/>
        </w:rPr>
        <w:t>-</w:t>
      </w:r>
      <w:r w:rsidRPr="7411F9F3">
        <w:rPr>
          <w:rFonts w:ascii="Calibri" w:eastAsia="Calibri" w:hAnsi="Calibri" w:cs="Calibri"/>
          <w:color w:val="000000" w:themeColor="text1"/>
          <w:lang w:val="en-US"/>
        </w:rPr>
        <w:t xml:space="preserve"> units (</w:t>
      </w:r>
      <w:proofErr w:type="spellStart"/>
      <w:r w:rsidRPr="7411F9F3">
        <w:rPr>
          <w:rFonts w:ascii="Calibri" w:eastAsia="Calibri" w:hAnsi="Calibri" w:cs="Calibri"/>
          <w:color w:val="000000" w:themeColor="text1"/>
          <w:lang w:val="en-US"/>
        </w:rPr>
        <w:t>H</w:t>
      </w:r>
      <w:r w:rsidRPr="7411F9F3">
        <w:rPr>
          <w:rFonts w:ascii="Calibri" w:eastAsia="Calibri" w:hAnsi="Calibri" w:cs="Calibri"/>
          <w:color w:val="000000" w:themeColor="text1"/>
          <w:vertAlign w:val="superscript"/>
          <w:lang w:val="en-US"/>
        </w:rPr>
        <w:t>i</w:t>
      </w:r>
      <w:r w:rsidRPr="7411F9F3">
        <w:rPr>
          <w:rFonts w:ascii="Calibri" w:eastAsia="Calibri" w:hAnsi="Calibri" w:cs="Calibri"/>
          <w:color w:val="000000" w:themeColor="text1"/>
          <w:lang w:val="en-US"/>
        </w:rPr>
        <w:t>nic</w:t>
      </w:r>
      <w:proofErr w:type="spellEnd"/>
      <w:r w:rsidRPr="7411F9F3">
        <w:rPr>
          <w:rFonts w:ascii="Calibri" w:eastAsia="Calibri" w:hAnsi="Calibri" w:cs="Calibri"/>
          <w:color w:val="000000" w:themeColor="text1"/>
          <w:lang w:val="en-US"/>
        </w:rPr>
        <w:t xml:space="preserve"> = </w:t>
      </w:r>
      <w:proofErr w:type="spellStart"/>
      <w:r w:rsidRPr="7411F9F3">
        <w:rPr>
          <w:rFonts w:ascii="Calibri" w:eastAsia="Calibri" w:hAnsi="Calibri" w:cs="Calibri"/>
          <w:color w:val="000000" w:themeColor="text1"/>
          <w:lang w:val="en-US"/>
        </w:rPr>
        <w:t>isonicotinic</w:t>
      </w:r>
      <w:proofErr w:type="spellEnd"/>
      <w:r w:rsidRPr="7411F9F3">
        <w:rPr>
          <w:rFonts w:ascii="Calibri" w:eastAsia="Calibri" w:hAnsi="Calibri" w:cs="Calibri"/>
          <w:color w:val="000000" w:themeColor="text1"/>
          <w:lang w:val="en-US"/>
        </w:rPr>
        <w:t xml:space="preserve"> acid)</w:t>
      </w:r>
      <w:r w:rsidRPr="7411F9F3">
        <w:rPr>
          <w:rFonts w:eastAsia="Arial"/>
          <w:lang w:val="en-US"/>
        </w:rPr>
        <w:t xml:space="preserve"> and three hydva</w:t>
      </w:r>
      <w:r w:rsidRPr="7411F9F3">
        <w:rPr>
          <w:rFonts w:eastAsia="Arial"/>
          <w:vertAlign w:val="superscript"/>
          <w:lang w:val="en-US"/>
        </w:rPr>
        <w:t>2-</w:t>
      </w:r>
      <w:r w:rsidRPr="7411F9F3">
        <w:rPr>
          <w:rFonts w:eastAsia="Arial"/>
          <w:lang w:val="en-US"/>
        </w:rPr>
        <w:t xml:space="preserve"> ligands</w:t>
      </w:r>
      <w:r w:rsidRPr="7411F9F3">
        <w:rPr>
          <w:rFonts w:ascii="Calibri" w:eastAsia="Calibri" w:hAnsi="Calibri" w:cs="Calibri"/>
          <w:color w:val="000000" w:themeColor="text1"/>
          <w:lang w:val="en-US"/>
        </w:rPr>
        <w:t>.</w:t>
      </w:r>
    </w:p>
    <w:p w14:paraId="7FAD8731" w14:textId="7B3D66D7" w:rsidR="00FA13BE" w:rsidRPr="00CC546F" w:rsidRDefault="00FA13BE" w:rsidP="4EAAA6B6">
      <w:pPr>
        <w:spacing w:after="0" w:line="240" w:lineRule="auto"/>
        <w:ind w:firstLine="567"/>
        <w:jc w:val="center"/>
        <w:rPr>
          <w:rFonts w:eastAsia="Arial"/>
          <w:color w:val="000000"/>
          <w:lang w:val="en-US"/>
        </w:rPr>
      </w:pPr>
      <w:r>
        <w:rPr>
          <w:noProof/>
        </w:rPr>
        <w:drawing>
          <wp:inline distT="0" distB="0" distL="0" distR="0" wp14:anchorId="62ED6024" wp14:editId="4D0CBA07">
            <wp:extent cx="2308021" cy="926415"/>
            <wp:effectExtent l="0" t="0" r="0" b="0"/>
            <wp:docPr id="420146543" name="Imagen 4201465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2014654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54" t="8771" b="24561"/>
                    <a:stretch>
                      <a:fillRect/>
                    </a:stretch>
                  </pic:blipFill>
                  <pic:spPr>
                    <a:xfrm>
                      <a:off x="0" y="0"/>
                      <a:ext cx="2308021" cy="926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D96FB6" w14:textId="024516E2" w:rsidR="00FA13BE" w:rsidRPr="00CC546F" w:rsidRDefault="7411F9F3" w:rsidP="7411F9F3">
      <w:pPr>
        <w:spacing w:after="0" w:line="240" w:lineRule="auto"/>
        <w:ind w:firstLine="567"/>
        <w:jc w:val="center"/>
        <w:rPr>
          <w:rFonts w:eastAsia="Arial"/>
          <w:color w:val="000000"/>
          <w:sz w:val="20"/>
          <w:szCs w:val="20"/>
          <w:lang w:val="en-US"/>
        </w:rPr>
      </w:pPr>
      <w:r w:rsidRPr="7411F9F3">
        <w:rPr>
          <w:rFonts w:eastAsia="Arial"/>
          <w:color w:val="000000" w:themeColor="text1"/>
          <w:sz w:val="20"/>
          <w:szCs w:val="20"/>
          <w:lang w:val="en-US"/>
        </w:rPr>
        <w:t xml:space="preserve">Figure 1. Molecular structure of Compound 1. </w:t>
      </w:r>
      <w:proofErr w:type="spellStart"/>
      <w:r w:rsidRPr="7411F9F3">
        <w:rPr>
          <w:rFonts w:eastAsia="Arial"/>
          <w:color w:val="000000" w:themeColor="text1"/>
          <w:sz w:val="20"/>
          <w:szCs w:val="20"/>
          <w:lang w:val="en-US"/>
        </w:rPr>
        <w:t>Colour</w:t>
      </w:r>
      <w:proofErr w:type="spellEnd"/>
      <w:r w:rsidRPr="7411F9F3">
        <w:rPr>
          <w:rFonts w:eastAsia="Arial"/>
          <w:color w:val="000000" w:themeColor="text1"/>
          <w:sz w:val="20"/>
          <w:szCs w:val="20"/>
          <w:lang w:val="en-US"/>
        </w:rPr>
        <w:t xml:space="preserve"> code: Mn, lilac; Re, turquoise; Br, orange; O, red; N, blue; C, black. Hydrogen atoms are omitted for a better view.</w:t>
      </w:r>
    </w:p>
    <w:p w14:paraId="77AF01ED" w14:textId="393FCEA6" w:rsidR="498119D9" w:rsidRDefault="498119D9" w:rsidP="498119D9">
      <w:pPr>
        <w:spacing w:before="240" w:after="0" w:line="480" w:lineRule="auto"/>
        <w:rPr>
          <w:rFonts w:eastAsia="Arial"/>
          <w:color w:val="000000" w:themeColor="text1"/>
          <w:lang w:val="en-US"/>
        </w:rPr>
      </w:pPr>
      <w:r w:rsidRPr="00854BAC">
        <w:rPr>
          <w:rFonts w:eastAsia="Arial"/>
          <w:b/>
          <w:bCs/>
          <w:color w:val="000000" w:themeColor="text1"/>
          <w:lang w:val="en-US"/>
        </w:rPr>
        <w:t xml:space="preserve">Acknowledgments: Agencia Nacional de </w:t>
      </w:r>
      <w:proofErr w:type="spellStart"/>
      <w:r w:rsidRPr="00854BAC">
        <w:rPr>
          <w:rFonts w:eastAsia="Arial"/>
          <w:b/>
          <w:bCs/>
          <w:color w:val="000000" w:themeColor="text1"/>
          <w:lang w:val="en-US"/>
        </w:rPr>
        <w:t>Investigación</w:t>
      </w:r>
      <w:proofErr w:type="spellEnd"/>
      <w:r w:rsidRPr="00854BAC">
        <w:rPr>
          <w:rFonts w:eastAsia="Arial"/>
          <w:b/>
          <w:bCs/>
          <w:color w:val="000000" w:themeColor="text1"/>
          <w:lang w:val="en-US"/>
        </w:rPr>
        <w:t xml:space="preserve"> e </w:t>
      </w:r>
      <w:proofErr w:type="spellStart"/>
      <w:r w:rsidRPr="00854BAC">
        <w:rPr>
          <w:rFonts w:eastAsia="Arial"/>
          <w:b/>
          <w:bCs/>
          <w:color w:val="000000" w:themeColor="text1"/>
          <w:lang w:val="en-US"/>
        </w:rPr>
        <w:t>Innovación</w:t>
      </w:r>
      <w:proofErr w:type="spellEnd"/>
      <w:r w:rsidRPr="00854BAC">
        <w:rPr>
          <w:rFonts w:eastAsia="Arial"/>
          <w:b/>
          <w:bCs/>
          <w:color w:val="000000" w:themeColor="text1"/>
          <w:lang w:val="en-US"/>
        </w:rPr>
        <w:t xml:space="preserve"> (ANII).</w:t>
      </w:r>
    </w:p>
    <w:p w14:paraId="423567C2" w14:textId="77777777" w:rsidR="00FA13BE" w:rsidRPr="00CC546F" w:rsidRDefault="4EAAA6B6">
      <w:pPr>
        <w:spacing w:after="0" w:line="320" w:lineRule="auto"/>
        <w:jc w:val="both"/>
        <w:rPr>
          <w:rFonts w:eastAsia="Arial" w:cstheme="minorHAnsi"/>
          <w:b/>
          <w:lang w:val="en-US"/>
        </w:rPr>
      </w:pPr>
      <w:r w:rsidRPr="4EAAA6B6">
        <w:rPr>
          <w:rFonts w:eastAsia="Arial"/>
          <w:b/>
          <w:bCs/>
          <w:lang w:val="en-US"/>
        </w:rPr>
        <w:t>References</w:t>
      </w:r>
    </w:p>
    <w:p w14:paraId="443EADC7" w14:textId="6321A7C8" w:rsidR="4DDDC220" w:rsidRDefault="7411F9F3" w:rsidP="7411F9F3">
      <w:pPr>
        <w:spacing w:after="0" w:line="240" w:lineRule="auto"/>
        <w:jc w:val="both"/>
        <w:rPr>
          <w:rFonts w:ascii="Calibri" w:eastAsia="Calibri" w:hAnsi="Calibri" w:cs="Calibri"/>
          <w:color w:val="000000" w:themeColor="text1"/>
          <w:sz w:val="20"/>
          <w:szCs w:val="20"/>
          <w:lang w:val="en-US"/>
        </w:rPr>
      </w:pPr>
      <w:r w:rsidRPr="7411F9F3">
        <w:rPr>
          <w:rFonts w:eastAsia="Arial"/>
          <w:sz w:val="14"/>
          <w:szCs w:val="14"/>
          <w:lang w:val="en-US"/>
        </w:rPr>
        <w:t xml:space="preserve"> </w:t>
      </w:r>
      <w:r w:rsidRPr="7411F9F3">
        <w:rPr>
          <w:rFonts w:ascii="Calibri" w:eastAsia="Calibri" w:hAnsi="Calibri" w:cs="Calibri"/>
          <w:color w:val="000000" w:themeColor="text1"/>
          <w:sz w:val="20"/>
          <w:szCs w:val="20"/>
          <w:lang w:val="en-US"/>
        </w:rPr>
        <w:t xml:space="preserve">[1] Ferrando-Soria, J. et al. </w:t>
      </w:r>
      <w:r w:rsidRPr="7411F9F3">
        <w:rPr>
          <w:rFonts w:ascii="Calibri" w:eastAsia="Calibri" w:hAnsi="Calibri" w:cs="Calibri"/>
          <w:color w:val="000000" w:themeColor="text1"/>
          <w:sz w:val="20"/>
          <w:szCs w:val="20"/>
          <w:u w:val="single"/>
          <w:lang w:val="en-US"/>
        </w:rPr>
        <w:t>Coordination Chemistry Reviews</w:t>
      </w:r>
      <w:r w:rsidRPr="7411F9F3">
        <w:rPr>
          <w:rFonts w:ascii="Calibri" w:eastAsia="Calibri" w:hAnsi="Calibri" w:cs="Calibri"/>
          <w:color w:val="000000" w:themeColor="text1"/>
          <w:sz w:val="20"/>
          <w:szCs w:val="20"/>
          <w:lang w:val="en-US"/>
        </w:rPr>
        <w:t xml:space="preserve">, </w:t>
      </w:r>
      <w:r w:rsidRPr="7411F9F3">
        <w:rPr>
          <w:rFonts w:ascii="Calibri" w:eastAsia="Calibri" w:hAnsi="Calibri" w:cs="Calibri"/>
          <w:b/>
          <w:bCs/>
          <w:color w:val="000000" w:themeColor="text1"/>
          <w:sz w:val="20"/>
          <w:szCs w:val="20"/>
          <w:lang w:val="en-US"/>
        </w:rPr>
        <w:t>339,</w:t>
      </w:r>
      <w:r w:rsidRPr="7411F9F3">
        <w:rPr>
          <w:rFonts w:ascii="Calibri" w:eastAsia="Calibri" w:hAnsi="Calibri" w:cs="Calibri"/>
          <w:color w:val="000000" w:themeColor="text1"/>
          <w:sz w:val="20"/>
          <w:szCs w:val="20"/>
          <w:lang w:val="en-US"/>
        </w:rPr>
        <w:t xml:space="preserve"> 17–103 (2017).</w:t>
      </w:r>
    </w:p>
    <w:p w14:paraId="155D60F8" w14:textId="2F3754A1" w:rsidR="4DDDC220" w:rsidRDefault="7411F9F3" w:rsidP="7411F9F3">
      <w:pPr>
        <w:spacing w:after="0" w:line="240" w:lineRule="auto"/>
        <w:jc w:val="both"/>
        <w:rPr>
          <w:rFonts w:ascii="Calibri" w:eastAsia="Calibri" w:hAnsi="Calibri" w:cs="Calibri"/>
          <w:color w:val="000000" w:themeColor="text1"/>
          <w:sz w:val="20"/>
          <w:szCs w:val="20"/>
          <w:lang w:val="en-US"/>
        </w:rPr>
      </w:pPr>
      <w:r w:rsidRPr="7411F9F3">
        <w:rPr>
          <w:rFonts w:ascii="Calibri" w:eastAsia="Calibri" w:hAnsi="Calibri" w:cs="Calibri"/>
          <w:color w:val="000000" w:themeColor="text1"/>
          <w:sz w:val="20"/>
          <w:szCs w:val="20"/>
          <w:lang w:val="en-US"/>
        </w:rPr>
        <w:t xml:space="preserve">[2] Coronado, E. </w:t>
      </w:r>
      <w:r w:rsidRPr="7411F9F3">
        <w:rPr>
          <w:rFonts w:ascii="Calibri" w:eastAsia="Calibri" w:hAnsi="Calibri" w:cs="Calibri"/>
          <w:color w:val="000000" w:themeColor="text1"/>
          <w:sz w:val="20"/>
          <w:szCs w:val="20"/>
          <w:u w:val="single"/>
          <w:lang w:val="en-US"/>
        </w:rPr>
        <w:t>Nature Reviews Materials</w:t>
      </w:r>
      <w:r w:rsidRPr="7411F9F3">
        <w:rPr>
          <w:rFonts w:ascii="Calibri" w:eastAsia="Calibri" w:hAnsi="Calibri" w:cs="Calibri"/>
          <w:color w:val="000000" w:themeColor="text1"/>
          <w:sz w:val="20"/>
          <w:szCs w:val="20"/>
          <w:lang w:val="en-US"/>
        </w:rPr>
        <w:t xml:space="preserve">, </w:t>
      </w:r>
      <w:r w:rsidRPr="7411F9F3">
        <w:rPr>
          <w:rFonts w:ascii="Calibri" w:eastAsia="Calibri" w:hAnsi="Calibri" w:cs="Calibri"/>
          <w:b/>
          <w:bCs/>
          <w:color w:val="000000" w:themeColor="text1"/>
          <w:sz w:val="20"/>
          <w:szCs w:val="20"/>
          <w:lang w:val="en-US"/>
        </w:rPr>
        <w:t>5</w:t>
      </w:r>
      <w:r w:rsidRPr="7411F9F3">
        <w:rPr>
          <w:rFonts w:ascii="Calibri" w:eastAsia="Calibri" w:hAnsi="Calibri" w:cs="Calibri"/>
          <w:color w:val="000000" w:themeColor="text1"/>
          <w:sz w:val="20"/>
          <w:szCs w:val="20"/>
          <w:lang w:val="en-US"/>
        </w:rPr>
        <w:t>(2), 87-104 (2020).</w:t>
      </w:r>
    </w:p>
    <w:sectPr w:rsidR="4DDDC220" w:rsidSect="00C0594C">
      <w:headerReference w:type="default" r:id="rId8"/>
      <w:pgSz w:w="11906" w:h="16838"/>
      <w:pgMar w:top="1418" w:right="1418" w:bottom="1418" w:left="1418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D6A7F" w14:textId="77777777" w:rsidR="001518EB" w:rsidRDefault="001518EB" w:rsidP="001D2699">
      <w:pPr>
        <w:spacing w:after="0" w:line="240" w:lineRule="auto"/>
      </w:pPr>
      <w:r>
        <w:separator/>
      </w:r>
    </w:p>
  </w:endnote>
  <w:endnote w:type="continuationSeparator" w:id="0">
    <w:p w14:paraId="1D3396B4" w14:textId="77777777" w:rsidR="001518EB" w:rsidRDefault="001518EB" w:rsidP="001D2699">
      <w:pPr>
        <w:spacing w:after="0" w:line="240" w:lineRule="auto"/>
      </w:pPr>
      <w:r>
        <w:continuationSeparator/>
      </w:r>
    </w:p>
  </w:endnote>
  <w:endnote w:type="continuationNotice" w:id="1">
    <w:p w14:paraId="4AA8E973" w14:textId="77777777" w:rsidR="001518EB" w:rsidRDefault="001518E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82145" w14:textId="77777777" w:rsidR="001518EB" w:rsidRDefault="001518EB" w:rsidP="001D2699">
      <w:pPr>
        <w:spacing w:after="0" w:line="240" w:lineRule="auto"/>
      </w:pPr>
      <w:r>
        <w:separator/>
      </w:r>
    </w:p>
  </w:footnote>
  <w:footnote w:type="continuationSeparator" w:id="0">
    <w:p w14:paraId="174B9CFF" w14:textId="77777777" w:rsidR="001518EB" w:rsidRDefault="001518EB" w:rsidP="001D2699">
      <w:pPr>
        <w:spacing w:after="0" w:line="240" w:lineRule="auto"/>
      </w:pPr>
      <w:r>
        <w:continuationSeparator/>
      </w:r>
    </w:p>
  </w:footnote>
  <w:footnote w:type="continuationNotice" w:id="1">
    <w:p w14:paraId="0D2E98B1" w14:textId="77777777" w:rsidR="001518EB" w:rsidRDefault="001518E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5689D" w14:textId="04CA1D1B" w:rsidR="001D2699" w:rsidRPr="000F4E3C" w:rsidRDefault="00794A3F" w:rsidP="00111E27">
    <w:pPr>
      <w:pStyle w:val="Encabezado"/>
      <w:jc w:val="center"/>
      <w:rPr>
        <w:rFonts w:ascii="Avenir Next LT Pro Light" w:hAnsi="Avenir Next LT Pro Light"/>
        <w:lang w:val="en-US"/>
      </w:rPr>
    </w:pPr>
    <w:r>
      <w:rPr>
        <w:rFonts w:ascii="Avenir Next LT Pro Light" w:hAnsi="Avenir Next LT Pro Light"/>
        <w:noProof/>
        <w:lang w:val="en-US"/>
      </w:rPr>
      <w:drawing>
        <wp:inline distT="0" distB="0" distL="0" distR="0" wp14:anchorId="58CB3541" wp14:editId="427CC7DE">
          <wp:extent cx="3502025" cy="674149"/>
          <wp:effectExtent l="0" t="0" r="3175" b="0"/>
          <wp:docPr id="165375705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3757055" name="Imagem 165375705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47788" cy="6829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Qi4cmIrCHT2CAv" int2:id="eiGllgjf">
      <int2:state int2:value="Rejected" int2:type="AugLoop_Text_Critique"/>
    </int2:textHash>
    <int2:textHash int2:hashCode="edQaR+j+xVhWpq" int2:id="PK5OK07U">
      <int2:state int2:value="Rejected" int2:type="AugLoop_Text_Critique"/>
    </int2:textHash>
    <int2:bookmark int2:bookmarkName="_Int_YW1heJ8Q" int2:invalidationBookmarkName="" int2:hashCode="V09OHjdFrLkIgL" int2:id="40vdTfc9">
      <int2:state int2:value="Rejected" int2:type="AugLoop_Text_Critique"/>
    </int2:bookmark>
    <int2:bookmark int2:bookmarkName="_Int_ubzrkv71" int2:invalidationBookmarkName="" int2:hashCode="IUBOMAofUukmOm" int2:id="A2X7I8HM">
      <int2:state int2:value="Rejected" int2:type="AugLoop_Text_Critique"/>
    </int2:bookmark>
    <int2:bookmark int2:bookmarkName="_Int_AuCIJNdt" int2:invalidationBookmarkName="" int2:hashCode="q7hMDnlwhXZgcE" int2:id="dp5Y3EzI">
      <int2:state int2:value="Rejected" int2:type="AugLoop_Text_Critique"/>
    </int2:bookmark>
    <int2:bookmark int2:bookmarkName="_Int_ry9NGelE" int2:invalidationBookmarkName="" int2:hashCode="X0X4LGJwBY0mv2" int2:id="NaeIxhIw">
      <int2:state int2:value="Rejected" int2:type="AugLoop_Text_Critique"/>
    </int2:bookmark>
    <int2:bookmark int2:bookmarkName="_Int_zkaIXvGk" int2:invalidationBookmarkName="" int2:hashCode="X0X4LGJwBY0mv2" int2:id="taX0B8oH">
      <int2:state int2:value="Rejected" int2:type="AugLoop_Text_Critique"/>
    </int2:bookmark>
    <int2:bookmark int2:bookmarkName="_Int_HmvleE3x" int2:invalidationBookmarkName="" int2:hashCode="IryHqnVnyJjkml" int2:id="9Cbl9SQy">
      <int2:state int2:value="Rejected" int2:type="AugLoop_Text_Critique"/>
    </int2:bookmark>
    <int2:bookmark int2:bookmarkName="_Int_EYaTJdbp" int2:invalidationBookmarkName="" int2:hashCode="8QDZLP5lu1XBkg" int2:id="p3nSoc59">
      <int2:state int2:value="Rejected" int2:type="AugLoop_Text_Critique"/>
    </int2:bookmark>
    <int2:bookmark int2:bookmarkName="_Int_CEuSKZtJ" int2:invalidationBookmarkName="" int2:hashCode="X0X4LGJwBY0mv2" int2:id="2K8qUApx">
      <int2:state int2:value="Rejected" int2:type="AugLoop_Text_Critique"/>
    </int2:bookmark>
    <int2:bookmark int2:bookmarkName="_Int_Cr1HJQEr" int2:invalidationBookmarkName="" int2:hashCode="hAhRPLuvO2Egdd" int2:id="b5hmP4RK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51050"/>
    <w:multiLevelType w:val="hybridMultilevel"/>
    <w:tmpl w:val="ECECB2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21DAC"/>
    <w:multiLevelType w:val="hybridMultilevel"/>
    <w:tmpl w:val="EB7EEE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692C55"/>
    <w:multiLevelType w:val="hybridMultilevel"/>
    <w:tmpl w:val="CF7201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4152436">
    <w:abstractNumId w:val="0"/>
  </w:num>
  <w:num w:numId="2" w16cid:durableId="172771313">
    <w:abstractNumId w:val="1"/>
  </w:num>
  <w:num w:numId="3" w16cid:durableId="3220041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3BE"/>
    <w:rsid w:val="00042DD2"/>
    <w:rsid w:val="00092A95"/>
    <w:rsid w:val="000F4E3C"/>
    <w:rsid w:val="00111E27"/>
    <w:rsid w:val="001331E7"/>
    <w:rsid w:val="001413BC"/>
    <w:rsid w:val="001518EB"/>
    <w:rsid w:val="00184713"/>
    <w:rsid w:val="001A0B67"/>
    <w:rsid w:val="001B0360"/>
    <w:rsid w:val="001D2699"/>
    <w:rsid w:val="001F6E23"/>
    <w:rsid w:val="00210677"/>
    <w:rsid w:val="00251556"/>
    <w:rsid w:val="002650FD"/>
    <w:rsid w:val="002651DA"/>
    <w:rsid w:val="002A54C7"/>
    <w:rsid w:val="002C3E4D"/>
    <w:rsid w:val="002D5744"/>
    <w:rsid w:val="002F3713"/>
    <w:rsid w:val="002F6E99"/>
    <w:rsid w:val="0036234A"/>
    <w:rsid w:val="003A7A8B"/>
    <w:rsid w:val="004150F0"/>
    <w:rsid w:val="004808F3"/>
    <w:rsid w:val="004B376A"/>
    <w:rsid w:val="004E1D4A"/>
    <w:rsid w:val="004E45F0"/>
    <w:rsid w:val="004F5E92"/>
    <w:rsid w:val="00512DF3"/>
    <w:rsid w:val="0051428D"/>
    <w:rsid w:val="00532200"/>
    <w:rsid w:val="00551417"/>
    <w:rsid w:val="00575C7E"/>
    <w:rsid w:val="00627D2F"/>
    <w:rsid w:val="00630588"/>
    <w:rsid w:val="0064447B"/>
    <w:rsid w:val="006651BF"/>
    <w:rsid w:val="0068446B"/>
    <w:rsid w:val="006A76B7"/>
    <w:rsid w:val="006F3711"/>
    <w:rsid w:val="00712896"/>
    <w:rsid w:val="007142C2"/>
    <w:rsid w:val="00765711"/>
    <w:rsid w:val="007840D9"/>
    <w:rsid w:val="00794A3F"/>
    <w:rsid w:val="007C4C3C"/>
    <w:rsid w:val="007E0145"/>
    <w:rsid w:val="00817726"/>
    <w:rsid w:val="00820DD3"/>
    <w:rsid w:val="00854BAC"/>
    <w:rsid w:val="0087128C"/>
    <w:rsid w:val="008B10A3"/>
    <w:rsid w:val="008B277D"/>
    <w:rsid w:val="008D3079"/>
    <w:rsid w:val="00922022"/>
    <w:rsid w:val="009D4213"/>
    <w:rsid w:val="00A30394"/>
    <w:rsid w:val="00A41C6E"/>
    <w:rsid w:val="00AF14AD"/>
    <w:rsid w:val="00B03DF2"/>
    <w:rsid w:val="00B1731A"/>
    <w:rsid w:val="00B457D0"/>
    <w:rsid w:val="00B7420E"/>
    <w:rsid w:val="00B93867"/>
    <w:rsid w:val="00BD62F0"/>
    <w:rsid w:val="00C0594C"/>
    <w:rsid w:val="00C15532"/>
    <w:rsid w:val="00C83423"/>
    <w:rsid w:val="00CC546F"/>
    <w:rsid w:val="00CC68C2"/>
    <w:rsid w:val="00CC6C5D"/>
    <w:rsid w:val="00CF3BFD"/>
    <w:rsid w:val="00CF4145"/>
    <w:rsid w:val="00DA22BB"/>
    <w:rsid w:val="00DE64D9"/>
    <w:rsid w:val="00E40F8E"/>
    <w:rsid w:val="00E74C52"/>
    <w:rsid w:val="00EA4982"/>
    <w:rsid w:val="00F06828"/>
    <w:rsid w:val="00F17FB0"/>
    <w:rsid w:val="00F43F99"/>
    <w:rsid w:val="00F521CE"/>
    <w:rsid w:val="00FA13BE"/>
    <w:rsid w:val="00FF06C9"/>
    <w:rsid w:val="0281DC31"/>
    <w:rsid w:val="0A100F9D"/>
    <w:rsid w:val="3DBAA159"/>
    <w:rsid w:val="42470BE8"/>
    <w:rsid w:val="498119D9"/>
    <w:rsid w:val="4DDDC220"/>
    <w:rsid w:val="4EAAA6B6"/>
    <w:rsid w:val="7411F9F3"/>
    <w:rsid w:val="7DA47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CEB412"/>
  <w15:docId w15:val="{C773312C-D0DD-4785-9793-B3B6ADACB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D26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D2699"/>
  </w:style>
  <w:style w:type="paragraph" w:styleId="Piedepgina">
    <w:name w:val="footer"/>
    <w:basedOn w:val="Normal"/>
    <w:link w:val="PiedepginaCar"/>
    <w:uiPriority w:val="99"/>
    <w:unhideWhenUsed/>
    <w:rsid w:val="001D26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D2699"/>
  </w:style>
  <w:style w:type="paragraph" w:styleId="Prrafodelista">
    <w:name w:val="List Paragraph"/>
    <w:basedOn w:val="Normal"/>
    <w:uiPriority w:val="34"/>
    <w:qFormat/>
    <w:rsid w:val="004E1D4A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F6E2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F6E23"/>
    <w:rPr>
      <w:color w:val="605E5C"/>
      <w:shd w:val="clear" w:color="auto" w:fill="E1DFDD"/>
    </w:rPr>
  </w:style>
  <w:style w:type="paragraph" w:customStyle="1" w:styleId="Acknowledgement">
    <w:name w:val="Acknowledgement"/>
    <w:basedOn w:val="Normal"/>
    <w:uiPriority w:val="1"/>
    <w:rsid w:val="498119D9"/>
    <w:pPr>
      <w:spacing w:after="120"/>
      <w:jc w:val="both"/>
    </w:pPr>
    <w:rPr>
      <w:rFonts w:ascii="Calibri" w:eastAsia="Times New Roman" w:hAnsi="Calibri" w:cs="Times New Roman"/>
      <w:i/>
      <w:iCs/>
      <w:lang w:val="en-GB" w:eastAsia="de-DE"/>
    </w:rPr>
  </w:style>
  <w:style w:type="paragraph" w:styleId="Revisin">
    <w:name w:val="Revision"/>
    <w:hidden/>
    <w:uiPriority w:val="99"/>
    <w:semiHidden/>
    <w:rsid w:val="001B0360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CC68C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C68C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C68C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C68C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C68C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0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20/10/relationships/intelligence" Target="intelligence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373</Words>
  <Characters>2253</Characters>
  <Application>Microsoft Office Word</Application>
  <DocSecurity>0</DocSecurity>
  <Lines>38</Lines>
  <Paragraphs>16</Paragraphs>
  <ScaleCrop>false</ScaleCrop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Schumacher</dc:creator>
  <cp:keywords/>
  <cp:lastModifiedBy>Carlos Rojas</cp:lastModifiedBy>
  <cp:revision>40</cp:revision>
  <dcterms:created xsi:type="dcterms:W3CDTF">2024-02-07T12:10:00Z</dcterms:created>
  <dcterms:modified xsi:type="dcterms:W3CDTF">2026-02-10T15:57:00Z</dcterms:modified>
</cp:coreProperties>
</file>