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8E2A8" w14:textId="77777777" w:rsidR="009335B6" w:rsidRPr="009335B6" w:rsidRDefault="009335B6" w:rsidP="009335B6">
      <w:pPr>
        <w:spacing w:line="360" w:lineRule="auto"/>
        <w:rPr>
          <w:rFonts w:ascii="Times New Roman" w:eastAsia="Times New Roman" w:hAnsi="Times New Roman" w:cs="Times New Roman"/>
          <w:b/>
          <w:bCs/>
          <w:sz w:val="24"/>
          <w:szCs w:val="24"/>
          <w:lang w:val="en-US"/>
        </w:rPr>
      </w:pPr>
      <w:r w:rsidRPr="009335B6">
        <w:rPr>
          <w:rFonts w:ascii="Times New Roman" w:eastAsia="Times New Roman" w:hAnsi="Times New Roman" w:cs="Times New Roman"/>
          <w:b/>
          <w:bCs/>
          <w:sz w:val="24"/>
          <w:szCs w:val="24"/>
          <w:lang w:val="en-US"/>
        </w:rPr>
        <w:t>VALIDATION OF REFLECTOQUANT™ FOR SOLUBLE REACTIVE PHOSPHORUS MONITORING IN SURFACE WATERS</w:t>
      </w:r>
    </w:p>
    <w:p w14:paraId="1C55DCB0" w14:textId="77777777" w:rsidR="009335B6" w:rsidRPr="009335B6" w:rsidRDefault="009335B6" w:rsidP="009335B6">
      <w:pPr>
        <w:spacing w:line="360" w:lineRule="auto"/>
        <w:rPr>
          <w:rFonts w:ascii="Times New Roman" w:eastAsia="Times New Roman" w:hAnsi="Times New Roman" w:cs="Times New Roman"/>
          <w:b/>
          <w:bCs/>
          <w:sz w:val="24"/>
          <w:szCs w:val="24"/>
          <w:lang w:val="en-US"/>
        </w:rPr>
      </w:pPr>
    </w:p>
    <w:p w14:paraId="24FFFF1E" w14:textId="77777777" w:rsidR="009335B6" w:rsidRPr="009335B6" w:rsidRDefault="009335B6" w:rsidP="009335B6">
      <w:pPr>
        <w:spacing w:line="360" w:lineRule="auto"/>
        <w:rPr>
          <w:rFonts w:ascii="Times New Roman" w:eastAsia="Times New Roman" w:hAnsi="Times New Roman" w:cs="Times New Roman"/>
          <w:b/>
          <w:bCs/>
          <w:sz w:val="24"/>
          <w:szCs w:val="24"/>
          <w:lang w:val="es-ES"/>
        </w:rPr>
      </w:pPr>
      <w:r w:rsidRPr="009335B6">
        <w:rPr>
          <w:rFonts w:ascii="Times New Roman" w:eastAsia="Times New Roman" w:hAnsi="Times New Roman" w:cs="Times New Roman"/>
          <w:b/>
          <w:bCs/>
          <w:sz w:val="24"/>
          <w:szCs w:val="24"/>
          <w:lang w:val="es-ES"/>
        </w:rPr>
        <w:t>VALIDACIÓN DE REFLECTOQUANT™ PARA EL MONITOREO DE FÓSFORO REACTIVO SOLUBLE EN AGUAS SUPERFICIALES</w:t>
      </w:r>
    </w:p>
    <w:p w14:paraId="4B61B18A" w14:textId="77777777" w:rsidR="009335B6" w:rsidRPr="009335B6" w:rsidRDefault="009335B6" w:rsidP="009335B6">
      <w:pPr>
        <w:spacing w:line="360" w:lineRule="auto"/>
        <w:rPr>
          <w:rFonts w:ascii="Times New Roman" w:eastAsia="Times New Roman" w:hAnsi="Times New Roman" w:cs="Times New Roman"/>
          <w:sz w:val="24"/>
          <w:szCs w:val="24"/>
          <w:lang w:val="es-ES"/>
        </w:rPr>
      </w:pPr>
    </w:p>
    <w:p w14:paraId="7DE4C7DB" w14:textId="77777777" w:rsidR="009335B6" w:rsidRPr="009335B6" w:rsidRDefault="009335B6" w:rsidP="009335B6">
      <w:pPr>
        <w:spacing w:line="360" w:lineRule="auto"/>
        <w:rPr>
          <w:rFonts w:ascii="Times New Roman" w:eastAsia="Times New Roman" w:hAnsi="Times New Roman" w:cs="Times New Roman"/>
          <w:b/>
          <w:bCs/>
          <w:sz w:val="24"/>
          <w:szCs w:val="24"/>
          <w:vertAlign w:val="superscript"/>
          <w:lang w:val="es-ES"/>
        </w:rPr>
      </w:pPr>
      <w:r w:rsidRPr="009335B6">
        <w:rPr>
          <w:rFonts w:ascii="Times New Roman" w:eastAsia="Times New Roman" w:hAnsi="Times New Roman" w:cs="Times New Roman"/>
          <w:b/>
          <w:bCs/>
          <w:sz w:val="24"/>
          <w:szCs w:val="24"/>
          <w:lang w:val="es-ES"/>
        </w:rPr>
        <w:t>Leonidas Carrasco-Letelier</w:t>
      </w:r>
      <w:proofErr w:type="gramStart"/>
      <w:r w:rsidRPr="009335B6">
        <w:rPr>
          <w:rFonts w:ascii="Times New Roman" w:eastAsia="Times New Roman" w:hAnsi="Times New Roman" w:cs="Times New Roman"/>
          <w:b/>
          <w:bCs/>
          <w:sz w:val="24"/>
          <w:szCs w:val="24"/>
          <w:vertAlign w:val="superscript"/>
          <w:lang w:val="es-ES"/>
        </w:rPr>
        <w:t>1,*</w:t>
      </w:r>
      <w:proofErr w:type="gramEnd"/>
      <w:r w:rsidRPr="009335B6">
        <w:rPr>
          <w:rFonts w:ascii="Times New Roman" w:eastAsia="Times New Roman" w:hAnsi="Times New Roman" w:cs="Times New Roman"/>
          <w:b/>
          <w:bCs/>
          <w:sz w:val="24"/>
          <w:szCs w:val="24"/>
          <w:lang w:val="es-ES"/>
        </w:rPr>
        <w:t>, Gabriela Eguren</w:t>
      </w:r>
      <w:r w:rsidRPr="009335B6">
        <w:rPr>
          <w:rFonts w:ascii="Times New Roman" w:eastAsia="Times New Roman" w:hAnsi="Times New Roman" w:cs="Times New Roman"/>
          <w:b/>
          <w:bCs/>
          <w:sz w:val="24"/>
          <w:szCs w:val="24"/>
          <w:vertAlign w:val="superscript"/>
          <w:lang w:val="es-ES"/>
        </w:rPr>
        <w:t>2</w:t>
      </w:r>
      <w:r w:rsidRPr="009335B6">
        <w:rPr>
          <w:rFonts w:ascii="Times New Roman" w:eastAsia="Times New Roman" w:hAnsi="Times New Roman" w:cs="Times New Roman"/>
          <w:b/>
          <w:bCs/>
          <w:sz w:val="24"/>
          <w:szCs w:val="24"/>
          <w:lang w:val="es-ES"/>
        </w:rPr>
        <w:t>, Andrés Hirigoyen</w:t>
      </w:r>
      <w:r w:rsidRPr="009335B6">
        <w:rPr>
          <w:rFonts w:ascii="Times New Roman" w:eastAsia="Times New Roman" w:hAnsi="Times New Roman" w:cs="Times New Roman"/>
          <w:b/>
          <w:bCs/>
          <w:sz w:val="24"/>
          <w:szCs w:val="24"/>
          <w:vertAlign w:val="superscript"/>
          <w:lang w:val="es-ES"/>
        </w:rPr>
        <w:t>3</w:t>
      </w:r>
      <w:r w:rsidRPr="009335B6">
        <w:rPr>
          <w:rFonts w:ascii="Times New Roman" w:eastAsia="Times New Roman" w:hAnsi="Times New Roman" w:cs="Times New Roman"/>
          <w:b/>
          <w:bCs/>
          <w:sz w:val="24"/>
          <w:szCs w:val="24"/>
          <w:lang w:val="es-ES"/>
        </w:rPr>
        <w:t>, Andrés Beretta-Blanco</w:t>
      </w:r>
      <w:r w:rsidRPr="009335B6">
        <w:rPr>
          <w:rFonts w:ascii="Times New Roman" w:eastAsia="Times New Roman" w:hAnsi="Times New Roman" w:cs="Times New Roman"/>
          <w:b/>
          <w:bCs/>
          <w:sz w:val="24"/>
          <w:szCs w:val="24"/>
          <w:vertAlign w:val="superscript"/>
          <w:lang w:val="es-ES"/>
        </w:rPr>
        <w:t>4</w:t>
      </w:r>
    </w:p>
    <w:p w14:paraId="00603697" w14:textId="77777777" w:rsidR="009335B6" w:rsidRPr="009335B6" w:rsidRDefault="009335B6" w:rsidP="009335B6">
      <w:pPr>
        <w:spacing w:line="360" w:lineRule="auto"/>
        <w:rPr>
          <w:rFonts w:ascii="Times New Roman" w:eastAsia="Times New Roman" w:hAnsi="Times New Roman" w:cs="Times New Roman"/>
          <w:sz w:val="24"/>
          <w:szCs w:val="24"/>
          <w:lang w:val="es-ES"/>
        </w:rPr>
      </w:pPr>
    </w:p>
    <w:p w14:paraId="061AF8DB" w14:textId="77777777" w:rsidR="009335B6" w:rsidRPr="009335B6" w:rsidRDefault="009335B6" w:rsidP="009335B6">
      <w:pPr>
        <w:spacing w:line="360" w:lineRule="auto"/>
        <w:rPr>
          <w:rFonts w:ascii="Times New Roman" w:eastAsia="Times New Roman" w:hAnsi="Times New Roman" w:cs="Times New Roman"/>
          <w:sz w:val="24"/>
          <w:szCs w:val="24"/>
          <w:lang w:val="es-ES"/>
        </w:rPr>
      </w:pPr>
      <w:r w:rsidRPr="009335B6">
        <w:rPr>
          <w:rFonts w:ascii="Times New Roman" w:eastAsia="Times New Roman" w:hAnsi="Times New Roman" w:cs="Times New Roman"/>
          <w:sz w:val="24"/>
          <w:szCs w:val="24"/>
          <w:vertAlign w:val="superscript"/>
          <w:lang w:val="es-ES"/>
        </w:rPr>
        <w:t xml:space="preserve">1 </w:t>
      </w:r>
      <w:proofErr w:type="gramStart"/>
      <w:r w:rsidRPr="009335B6">
        <w:rPr>
          <w:rFonts w:ascii="Times New Roman" w:eastAsia="Times New Roman" w:hAnsi="Times New Roman" w:cs="Times New Roman"/>
          <w:sz w:val="24"/>
          <w:szCs w:val="24"/>
          <w:lang w:val="es-ES"/>
        </w:rPr>
        <w:t>Recursos</w:t>
      </w:r>
      <w:proofErr w:type="gramEnd"/>
      <w:r w:rsidRPr="009335B6">
        <w:rPr>
          <w:rFonts w:ascii="Times New Roman" w:eastAsia="Times New Roman" w:hAnsi="Times New Roman" w:cs="Times New Roman"/>
          <w:sz w:val="24"/>
          <w:szCs w:val="24"/>
          <w:lang w:val="es-ES"/>
        </w:rPr>
        <w:t xml:space="preserve"> Naturales, Producción y Ambiente, Instituto Nacional de Investigación Agropecuaria (INIA Uruguay), Edificio Los Guayabos, Parque de Innovación, Avenida Italia 6201, Montevideo, Uruguay. </w:t>
      </w:r>
    </w:p>
    <w:p w14:paraId="53C98D4D" w14:textId="77777777" w:rsidR="009335B6" w:rsidRPr="009335B6" w:rsidRDefault="009335B6" w:rsidP="009335B6">
      <w:pPr>
        <w:spacing w:line="360" w:lineRule="auto"/>
        <w:rPr>
          <w:rFonts w:ascii="Times New Roman" w:eastAsia="Times New Roman" w:hAnsi="Times New Roman" w:cs="Times New Roman"/>
          <w:sz w:val="24"/>
          <w:szCs w:val="24"/>
          <w:lang w:val="es-ES"/>
        </w:rPr>
      </w:pPr>
      <w:hyperlink r:id="rId7" w:history="1">
        <w:r w:rsidRPr="009335B6">
          <w:rPr>
            <w:rStyle w:val="Hipervnculo"/>
            <w:rFonts w:ascii="Times New Roman" w:eastAsia="Times New Roman" w:hAnsi="Times New Roman" w:cs="Times New Roman"/>
            <w:sz w:val="24"/>
            <w:szCs w:val="24"/>
            <w:lang w:val="es-ES"/>
          </w:rPr>
          <w:t>https://orcid.org/0000-0002-2894-3700</w:t>
        </w:r>
      </w:hyperlink>
      <w:r w:rsidRPr="009335B6">
        <w:rPr>
          <w:rFonts w:ascii="Times New Roman" w:eastAsia="Times New Roman" w:hAnsi="Times New Roman" w:cs="Times New Roman"/>
          <w:sz w:val="24"/>
          <w:szCs w:val="24"/>
          <w:lang w:val="es-ES"/>
        </w:rPr>
        <w:t>.</w:t>
      </w:r>
    </w:p>
    <w:p w14:paraId="5B2BFE20" w14:textId="77777777" w:rsidR="009335B6" w:rsidRPr="009335B6" w:rsidRDefault="009335B6" w:rsidP="009335B6">
      <w:pPr>
        <w:spacing w:line="360" w:lineRule="auto"/>
        <w:rPr>
          <w:rFonts w:ascii="Times New Roman" w:eastAsia="Times New Roman" w:hAnsi="Times New Roman" w:cs="Times New Roman"/>
          <w:sz w:val="24"/>
          <w:szCs w:val="24"/>
          <w:lang w:val="es-ES"/>
        </w:rPr>
      </w:pPr>
      <w:r w:rsidRPr="009335B6">
        <w:rPr>
          <w:rFonts w:ascii="Times New Roman" w:eastAsia="Times New Roman" w:hAnsi="Times New Roman" w:cs="Times New Roman"/>
          <w:sz w:val="24"/>
          <w:szCs w:val="24"/>
          <w:vertAlign w:val="superscript"/>
          <w:lang w:val="es-ES"/>
        </w:rPr>
        <w:t>2</w:t>
      </w:r>
      <w:r w:rsidRPr="009335B6">
        <w:rPr>
          <w:rFonts w:ascii="Times New Roman" w:eastAsia="Times New Roman" w:hAnsi="Times New Roman" w:cs="Times New Roman"/>
          <w:sz w:val="24"/>
          <w:szCs w:val="24"/>
          <w:lang w:val="es-ES"/>
        </w:rPr>
        <w:t xml:space="preserve"> </w:t>
      </w:r>
      <w:proofErr w:type="gramStart"/>
      <w:r w:rsidRPr="009335B6">
        <w:rPr>
          <w:rFonts w:ascii="Times New Roman" w:eastAsia="Times New Roman" w:hAnsi="Times New Roman" w:cs="Times New Roman"/>
          <w:sz w:val="24"/>
          <w:szCs w:val="24"/>
          <w:lang w:val="es-ES"/>
        </w:rPr>
        <w:t>Facultad</w:t>
      </w:r>
      <w:proofErr w:type="gramEnd"/>
      <w:r w:rsidRPr="009335B6">
        <w:rPr>
          <w:rFonts w:ascii="Times New Roman" w:eastAsia="Times New Roman" w:hAnsi="Times New Roman" w:cs="Times New Roman"/>
          <w:sz w:val="24"/>
          <w:szCs w:val="24"/>
          <w:lang w:val="es-ES"/>
        </w:rPr>
        <w:t xml:space="preserve"> de Ciencias, Universidad de la República, </w:t>
      </w:r>
      <w:proofErr w:type="spellStart"/>
      <w:r w:rsidRPr="009335B6">
        <w:rPr>
          <w:rFonts w:ascii="Times New Roman" w:eastAsia="Times New Roman" w:hAnsi="Times New Roman" w:cs="Times New Roman"/>
          <w:sz w:val="24"/>
          <w:szCs w:val="24"/>
          <w:lang w:val="es-ES"/>
        </w:rPr>
        <w:t>Iguá</w:t>
      </w:r>
      <w:proofErr w:type="spellEnd"/>
      <w:r w:rsidRPr="009335B6">
        <w:rPr>
          <w:rFonts w:ascii="Times New Roman" w:eastAsia="Times New Roman" w:hAnsi="Times New Roman" w:cs="Times New Roman"/>
          <w:sz w:val="24"/>
          <w:szCs w:val="24"/>
          <w:lang w:val="es-ES"/>
        </w:rPr>
        <w:t xml:space="preserve"> 4225, Montevideo, Uruguay.</w:t>
      </w:r>
    </w:p>
    <w:p w14:paraId="41C10371" w14:textId="77777777" w:rsidR="009335B6" w:rsidRPr="009335B6" w:rsidRDefault="009335B6" w:rsidP="009335B6">
      <w:pPr>
        <w:spacing w:line="360" w:lineRule="auto"/>
        <w:rPr>
          <w:rFonts w:ascii="Times New Roman" w:eastAsia="Times New Roman" w:hAnsi="Times New Roman" w:cs="Times New Roman"/>
          <w:sz w:val="24"/>
          <w:szCs w:val="24"/>
          <w:lang w:val="es-ES"/>
        </w:rPr>
      </w:pPr>
      <w:hyperlink r:id="rId8" w:history="1">
        <w:r w:rsidRPr="009335B6">
          <w:rPr>
            <w:rStyle w:val="Hipervnculo"/>
            <w:rFonts w:ascii="Times New Roman" w:eastAsia="Times New Roman" w:hAnsi="Times New Roman" w:cs="Times New Roman"/>
            <w:sz w:val="24"/>
            <w:szCs w:val="24"/>
            <w:lang w:val="es-ES"/>
          </w:rPr>
          <w:t>https://orcid.org/0000-0001-6718-8798</w:t>
        </w:r>
      </w:hyperlink>
      <w:r w:rsidRPr="009335B6">
        <w:rPr>
          <w:rFonts w:ascii="Times New Roman" w:eastAsia="Times New Roman" w:hAnsi="Times New Roman" w:cs="Times New Roman"/>
          <w:sz w:val="24"/>
          <w:szCs w:val="24"/>
          <w:lang w:val="es-ES"/>
        </w:rPr>
        <w:t>.</w:t>
      </w:r>
    </w:p>
    <w:p w14:paraId="3CF1A552" w14:textId="77777777" w:rsidR="009335B6" w:rsidRPr="009335B6" w:rsidRDefault="009335B6" w:rsidP="009335B6">
      <w:pPr>
        <w:spacing w:line="360" w:lineRule="auto"/>
        <w:rPr>
          <w:rFonts w:ascii="Times New Roman" w:eastAsia="Times New Roman" w:hAnsi="Times New Roman" w:cs="Times New Roman"/>
          <w:sz w:val="24"/>
          <w:szCs w:val="24"/>
          <w:lang w:val="es-ES"/>
        </w:rPr>
      </w:pPr>
      <w:r w:rsidRPr="009335B6">
        <w:rPr>
          <w:rFonts w:ascii="Times New Roman" w:eastAsia="Times New Roman" w:hAnsi="Times New Roman" w:cs="Times New Roman"/>
          <w:sz w:val="24"/>
          <w:szCs w:val="24"/>
          <w:vertAlign w:val="superscript"/>
          <w:lang w:val="es-ES"/>
        </w:rPr>
        <w:t>3</w:t>
      </w:r>
      <w:r w:rsidRPr="009335B6">
        <w:rPr>
          <w:rFonts w:ascii="Times New Roman" w:eastAsia="Times New Roman" w:hAnsi="Times New Roman" w:cs="Times New Roman"/>
          <w:sz w:val="24"/>
          <w:szCs w:val="24"/>
          <w:lang w:val="es-ES"/>
        </w:rPr>
        <w:t xml:space="preserve"> </w:t>
      </w:r>
      <w:proofErr w:type="gramStart"/>
      <w:r w:rsidRPr="009335B6">
        <w:rPr>
          <w:rFonts w:ascii="Times New Roman" w:eastAsia="Times New Roman" w:hAnsi="Times New Roman" w:cs="Times New Roman"/>
          <w:sz w:val="24"/>
          <w:szCs w:val="24"/>
          <w:lang w:val="es-ES"/>
        </w:rPr>
        <w:t>Sistema</w:t>
      </w:r>
      <w:proofErr w:type="gramEnd"/>
      <w:r w:rsidRPr="009335B6">
        <w:rPr>
          <w:rFonts w:ascii="Times New Roman" w:eastAsia="Times New Roman" w:hAnsi="Times New Roman" w:cs="Times New Roman"/>
          <w:sz w:val="24"/>
          <w:szCs w:val="24"/>
          <w:lang w:val="es-ES"/>
        </w:rPr>
        <w:t xml:space="preserve"> Forestal, Instituto Nacional de Investigación Agropecuaria (INIA Uruguay</w:t>
      </w:r>
      <w:proofErr w:type="gramStart"/>
      <w:r w:rsidRPr="009335B6">
        <w:rPr>
          <w:rFonts w:ascii="Times New Roman" w:eastAsia="Times New Roman" w:hAnsi="Times New Roman" w:cs="Times New Roman"/>
          <w:sz w:val="24"/>
          <w:szCs w:val="24"/>
          <w:lang w:val="es-ES"/>
        </w:rPr>
        <w:t>),  Estación</w:t>
      </w:r>
      <w:proofErr w:type="gramEnd"/>
      <w:r w:rsidRPr="009335B6">
        <w:rPr>
          <w:rFonts w:ascii="Times New Roman" w:eastAsia="Times New Roman" w:hAnsi="Times New Roman" w:cs="Times New Roman"/>
          <w:sz w:val="24"/>
          <w:szCs w:val="24"/>
          <w:lang w:val="es-ES"/>
        </w:rPr>
        <w:t xml:space="preserve"> Experimental “Wilson Ferreira Aldunate” INIA Las Brujas, Canelones, Uruguay. </w:t>
      </w:r>
    </w:p>
    <w:p w14:paraId="1D600DD0" w14:textId="77777777" w:rsidR="009335B6" w:rsidRPr="009335B6" w:rsidRDefault="009335B6" w:rsidP="009335B6">
      <w:pPr>
        <w:spacing w:line="360" w:lineRule="auto"/>
        <w:rPr>
          <w:rFonts w:ascii="Times New Roman" w:eastAsia="Times New Roman" w:hAnsi="Times New Roman" w:cs="Times New Roman"/>
          <w:sz w:val="24"/>
          <w:szCs w:val="24"/>
          <w:lang w:val="es-ES"/>
        </w:rPr>
      </w:pPr>
      <w:hyperlink r:id="rId9" w:history="1">
        <w:r w:rsidRPr="009335B6">
          <w:rPr>
            <w:rStyle w:val="Hipervnculo"/>
            <w:rFonts w:ascii="Times New Roman" w:eastAsia="Times New Roman" w:hAnsi="Times New Roman" w:cs="Times New Roman"/>
            <w:sz w:val="24"/>
            <w:szCs w:val="24"/>
            <w:lang w:val="es-ES"/>
          </w:rPr>
          <w:t>https://orcid.org/0000-0002-2116-1095</w:t>
        </w:r>
      </w:hyperlink>
      <w:r w:rsidRPr="009335B6">
        <w:rPr>
          <w:rFonts w:ascii="Times New Roman" w:eastAsia="Times New Roman" w:hAnsi="Times New Roman" w:cs="Times New Roman"/>
          <w:sz w:val="24"/>
          <w:szCs w:val="24"/>
          <w:lang w:val="es-ES"/>
        </w:rPr>
        <w:t xml:space="preserve">. </w:t>
      </w:r>
    </w:p>
    <w:p w14:paraId="2B96F83C" w14:textId="77777777" w:rsidR="009335B6" w:rsidRPr="009335B6" w:rsidRDefault="009335B6" w:rsidP="009335B6">
      <w:pPr>
        <w:spacing w:line="360" w:lineRule="auto"/>
        <w:rPr>
          <w:rFonts w:ascii="Times New Roman" w:eastAsia="Times New Roman" w:hAnsi="Times New Roman" w:cs="Times New Roman"/>
          <w:sz w:val="24"/>
          <w:szCs w:val="24"/>
          <w:lang w:val="es-ES"/>
        </w:rPr>
      </w:pPr>
      <w:r w:rsidRPr="009335B6">
        <w:rPr>
          <w:rFonts w:ascii="Times New Roman" w:eastAsia="Times New Roman" w:hAnsi="Times New Roman" w:cs="Times New Roman"/>
          <w:sz w:val="24"/>
          <w:szCs w:val="24"/>
          <w:vertAlign w:val="superscript"/>
          <w:lang w:val="es-ES"/>
        </w:rPr>
        <w:t>4</w:t>
      </w:r>
      <w:r w:rsidRPr="009335B6">
        <w:rPr>
          <w:rFonts w:ascii="Times New Roman" w:eastAsia="Times New Roman" w:hAnsi="Times New Roman" w:cs="Times New Roman"/>
          <w:sz w:val="24"/>
          <w:szCs w:val="24"/>
          <w:lang w:val="es-ES"/>
        </w:rPr>
        <w:t xml:space="preserve"> </w:t>
      </w:r>
      <w:proofErr w:type="gramStart"/>
      <w:r w:rsidRPr="009335B6">
        <w:rPr>
          <w:rFonts w:ascii="Times New Roman" w:eastAsia="Times New Roman" w:hAnsi="Times New Roman" w:cs="Times New Roman"/>
          <w:sz w:val="24"/>
          <w:szCs w:val="24"/>
          <w:lang w:val="es-ES"/>
        </w:rPr>
        <w:t>Dirección</w:t>
      </w:r>
      <w:proofErr w:type="gramEnd"/>
      <w:r w:rsidRPr="009335B6">
        <w:rPr>
          <w:rFonts w:ascii="Times New Roman" w:eastAsia="Times New Roman" w:hAnsi="Times New Roman" w:cs="Times New Roman"/>
          <w:sz w:val="24"/>
          <w:szCs w:val="24"/>
          <w:lang w:val="es-ES"/>
        </w:rPr>
        <w:t xml:space="preserve"> General de Recursos Naturales, Ministerio de Ganadería, Agricultura y Pesca (MGAP), Montevideo, Uruguay. </w:t>
      </w:r>
    </w:p>
    <w:p w14:paraId="59BDE84B" w14:textId="77777777" w:rsidR="009335B6" w:rsidRPr="009335B6" w:rsidRDefault="009335B6" w:rsidP="009335B6">
      <w:pPr>
        <w:spacing w:line="360" w:lineRule="auto"/>
        <w:rPr>
          <w:rFonts w:ascii="Times New Roman" w:eastAsia="Times New Roman" w:hAnsi="Times New Roman" w:cs="Times New Roman"/>
          <w:sz w:val="24"/>
          <w:szCs w:val="24"/>
          <w:lang w:val="es-ES"/>
        </w:rPr>
      </w:pPr>
      <w:hyperlink r:id="rId10" w:history="1">
        <w:r w:rsidRPr="009335B6">
          <w:rPr>
            <w:rStyle w:val="Hipervnculo"/>
            <w:rFonts w:ascii="Times New Roman" w:eastAsia="Times New Roman" w:hAnsi="Times New Roman" w:cs="Times New Roman"/>
            <w:sz w:val="24"/>
            <w:szCs w:val="24"/>
            <w:lang w:val="es-ES"/>
          </w:rPr>
          <w:t>https://orcid.org/0000-0003-1358-2065</w:t>
        </w:r>
      </w:hyperlink>
      <w:r w:rsidRPr="009335B6">
        <w:rPr>
          <w:rFonts w:ascii="Times New Roman" w:eastAsia="Times New Roman" w:hAnsi="Times New Roman" w:cs="Times New Roman"/>
          <w:sz w:val="24"/>
          <w:szCs w:val="24"/>
          <w:lang w:val="es-ES"/>
        </w:rPr>
        <w:t>.</w:t>
      </w:r>
    </w:p>
    <w:p w14:paraId="48898192" w14:textId="77777777" w:rsidR="009335B6" w:rsidRPr="009335B6" w:rsidRDefault="009335B6" w:rsidP="009335B6">
      <w:pPr>
        <w:spacing w:line="360" w:lineRule="auto"/>
        <w:rPr>
          <w:rFonts w:ascii="Times New Roman" w:eastAsia="Times New Roman" w:hAnsi="Times New Roman" w:cs="Times New Roman"/>
          <w:sz w:val="24"/>
          <w:szCs w:val="24"/>
          <w:lang w:val="es-ES"/>
        </w:rPr>
      </w:pPr>
      <w:r w:rsidRPr="009335B6">
        <w:rPr>
          <w:rFonts w:ascii="Times New Roman" w:eastAsia="Times New Roman" w:hAnsi="Times New Roman" w:cs="Times New Roman"/>
          <w:sz w:val="24"/>
          <w:szCs w:val="24"/>
          <w:lang w:val="es-ES"/>
        </w:rPr>
        <w:t xml:space="preserve">* Autor para correspondencia: lcarrasco@inia.org.uy. </w:t>
      </w:r>
    </w:p>
    <w:p w14:paraId="76624135" w14:textId="77777777" w:rsidR="009335B6" w:rsidRDefault="009335B6">
      <w:pPr>
        <w:spacing w:line="360" w:lineRule="auto"/>
        <w:rPr>
          <w:rFonts w:ascii="Times New Roman" w:eastAsia="Times New Roman" w:hAnsi="Times New Roman" w:cs="Times New Roman"/>
          <w:sz w:val="24"/>
          <w:szCs w:val="24"/>
          <w:lang w:val="es-UY"/>
        </w:rPr>
      </w:pPr>
    </w:p>
    <w:p w14:paraId="51E8839D" w14:textId="77777777" w:rsidR="00AF262C" w:rsidRDefault="00AF262C">
      <w:pPr>
        <w:spacing w:line="360" w:lineRule="auto"/>
        <w:rPr>
          <w:rFonts w:ascii="Times New Roman" w:eastAsia="Times New Roman" w:hAnsi="Times New Roman" w:cs="Times New Roman"/>
          <w:sz w:val="24"/>
          <w:szCs w:val="24"/>
          <w:lang w:val="es-UY"/>
        </w:rPr>
      </w:pPr>
    </w:p>
    <w:p w14:paraId="24CDBC9A" w14:textId="77777777" w:rsidR="00AF262C" w:rsidRPr="009335B6" w:rsidRDefault="00AF262C">
      <w:pPr>
        <w:spacing w:line="360" w:lineRule="auto"/>
        <w:rPr>
          <w:rFonts w:ascii="Times New Roman" w:eastAsia="Times New Roman" w:hAnsi="Times New Roman" w:cs="Times New Roman"/>
          <w:sz w:val="24"/>
          <w:szCs w:val="24"/>
          <w:lang w:val="es-UY"/>
        </w:rPr>
      </w:pPr>
    </w:p>
    <w:p w14:paraId="0E2C56F8" w14:textId="77777777" w:rsidR="00027601" w:rsidRPr="004C1D8B" w:rsidRDefault="00000000">
      <w:pPr>
        <w:spacing w:line="360" w:lineRule="auto"/>
        <w:rPr>
          <w:rFonts w:ascii="Times New Roman" w:eastAsia="Times New Roman" w:hAnsi="Times New Roman" w:cs="Times New Roman"/>
          <w:sz w:val="24"/>
          <w:szCs w:val="24"/>
        </w:rPr>
      </w:pPr>
      <w:r w:rsidRPr="004C1D8B">
        <w:rPr>
          <w:rFonts w:ascii="Times New Roman" w:eastAsia="Times New Roman" w:hAnsi="Times New Roman" w:cs="Times New Roman"/>
          <w:b/>
          <w:bCs/>
          <w:sz w:val="24"/>
          <w:szCs w:val="24"/>
        </w:rPr>
        <w:lastRenderedPageBreak/>
        <w:t>ABSTRACT</w:t>
      </w:r>
    </w:p>
    <w:p w14:paraId="68758C0E" w14:textId="77777777" w:rsidR="00027601" w:rsidRPr="004C1D8B" w:rsidRDefault="00000000">
      <w:pPr>
        <w:spacing w:before="120" w:line="360" w:lineRule="auto"/>
        <w:rPr>
          <w:rFonts w:ascii="Times New Roman" w:eastAsia="Times New Roman" w:hAnsi="Times New Roman" w:cs="Times New Roman"/>
          <w:b/>
          <w:bCs/>
          <w:sz w:val="24"/>
          <w:szCs w:val="24"/>
        </w:rPr>
      </w:pPr>
      <w:r w:rsidRPr="004C1D8B">
        <w:rPr>
          <w:rFonts w:ascii="Times New Roman" w:eastAsia="Times New Roman" w:hAnsi="Times New Roman" w:cs="Times New Roman"/>
          <w:b/>
          <w:bCs/>
          <w:sz w:val="24"/>
          <w:szCs w:val="24"/>
        </w:rPr>
        <w:t>High-frequency monitoring of soluble reactive phosphorus (SRP) is essential for managing eutrophication in developing regions, but laboratory-based UV-</w:t>
      </w:r>
      <w:proofErr w:type="gramStart"/>
      <w:r w:rsidRPr="004C1D8B">
        <w:rPr>
          <w:rFonts w:ascii="Times New Roman" w:eastAsia="Times New Roman" w:hAnsi="Times New Roman" w:cs="Times New Roman"/>
          <w:b/>
          <w:bCs/>
          <w:sz w:val="24"/>
          <w:szCs w:val="24"/>
        </w:rPr>
        <w:t>Vis</w:t>
      </w:r>
      <w:proofErr w:type="gramEnd"/>
      <w:r w:rsidRPr="004C1D8B">
        <w:rPr>
          <w:rFonts w:ascii="Times New Roman" w:eastAsia="Times New Roman" w:hAnsi="Times New Roman" w:cs="Times New Roman"/>
          <w:b/>
          <w:bCs/>
          <w:sz w:val="24"/>
          <w:szCs w:val="24"/>
        </w:rPr>
        <w:t xml:space="preserve"> spectrophotometry (SPEC) is often limited by cost and logistics. This study evaluates the portable </w:t>
      </w:r>
      <w:proofErr w:type="spellStart"/>
      <w:r w:rsidRPr="004C1D8B">
        <w:rPr>
          <w:rFonts w:ascii="Times New Roman" w:eastAsia="Times New Roman" w:hAnsi="Times New Roman" w:cs="Times New Roman"/>
          <w:b/>
          <w:bCs/>
          <w:sz w:val="24"/>
          <w:szCs w:val="24"/>
        </w:rPr>
        <w:t>Reflectoquant</w:t>
      </w:r>
      <w:proofErr w:type="spellEnd"/>
      <w:r w:rsidRPr="004C1D8B">
        <w:rPr>
          <w:rFonts w:ascii="Times New Roman" w:eastAsia="Times New Roman" w:hAnsi="Times New Roman" w:cs="Times New Roman"/>
          <w:b/>
          <w:bCs/>
          <w:sz w:val="24"/>
          <w:szCs w:val="24"/>
        </w:rPr>
        <w:t xml:space="preserve">™ (REFL) reflectometric method against SPEC using synthetic standards and 300 filtered river samples from Uruguayan watersheds (0.010–2.400 </w:t>
      </w:r>
      <w:proofErr w:type="spellStart"/>
      <w:r w:rsidRPr="004C1D8B">
        <w:rPr>
          <w:rFonts w:ascii="Times New Roman" w:eastAsia="Times New Roman" w:hAnsi="Times New Roman" w:cs="Times New Roman"/>
          <w:b/>
          <w:bCs/>
          <w:sz w:val="24"/>
          <w:szCs w:val="24"/>
        </w:rPr>
        <w:t>mgPO</w:t>
      </w:r>
      <w:proofErr w:type="spellEnd"/>
      <w:r w:rsidRPr="004C1D8B">
        <w:rPr>
          <w:rFonts w:ascii="Times New Roman" w:eastAsia="Times New Roman" w:hAnsi="Times New Roman" w:cs="Times New Roman"/>
          <w:b/>
          <w:bCs/>
          <w:sz w:val="24"/>
          <w:szCs w:val="24"/>
        </w:rPr>
        <w:t>₄-P L</w:t>
      </w:r>
      <w:r w:rsidRPr="004C1D8B">
        <w:rPr>
          <w:rFonts w:ascii="Times New Roman" w:eastAsia="Times New Roman" w:hAnsi="Times New Roman" w:cs="Times New Roman"/>
          <w:b/>
          <w:bCs/>
          <w:sz w:val="24"/>
          <w:szCs w:val="24"/>
          <w:vertAlign w:val="superscript"/>
        </w:rPr>
        <w:t>-1</w:t>
      </w:r>
      <w:sdt>
        <w:sdtPr>
          <w:rPr>
            <w:rFonts w:ascii="Times New Roman" w:hAnsi="Times New Roman" w:cs="Times New Roman"/>
            <w:b/>
            <w:bCs/>
            <w:sz w:val="24"/>
            <w:szCs w:val="24"/>
          </w:rPr>
          <w:tag w:val="goog_rdk_0"/>
          <w:id w:val="1689917602"/>
        </w:sdtPr>
        <w:sdtContent>
          <w:r w:rsidRPr="004C1D8B">
            <w:rPr>
              <w:rFonts w:ascii="Times New Roman" w:eastAsia="Cardo" w:hAnsi="Times New Roman" w:cs="Times New Roman"/>
              <w:b/>
              <w:bCs/>
              <w:sz w:val="24"/>
              <w:szCs w:val="24"/>
            </w:rPr>
            <w:t xml:space="preserve">). Statistical analyses included Spearman correlation, regression models, and Bland-Altman plots. Strong monotonic relationships were found (ρ = 0.979 for standards; ρ = 0.890 for rivers). Simple linear regression showed the best fit (adjusted R² ≥ 0.972; root mean square error (RMSE) ≤ 0.018 </w:t>
          </w:r>
          <w:proofErr w:type="spellStart"/>
          <w:r w:rsidRPr="004C1D8B">
            <w:rPr>
              <w:rFonts w:ascii="Times New Roman" w:eastAsia="Cardo" w:hAnsi="Times New Roman" w:cs="Times New Roman"/>
              <w:b/>
              <w:bCs/>
              <w:sz w:val="24"/>
              <w:szCs w:val="24"/>
            </w:rPr>
            <w:t>mgPO</w:t>
          </w:r>
          <w:proofErr w:type="spellEnd"/>
          <w:r w:rsidRPr="004C1D8B">
            <w:rPr>
              <w:rFonts w:ascii="Times New Roman" w:eastAsia="Cardo" w:hAnsi="Times New Roman" w:cs="Times New Roman"/>
              <w:b/>
              <w:bCs/>
              <w:sz w:val="24"/>
              <w:szCs w:val="24"/>
            </w:rPr>
            <w:t>₄-P L</w:t>
          </w:r>
        </w:sdtContent>
      </w:sdt>
      <w:r w:rsidRPr="004C1D8B">
        <w:rPr>
          <w:rFonts w:ascii="Times New Roman" w:eastAsia="Times New Roman" w:hAnsi="Times New Roman" w:cs="Times New Roman"/>
          <w:b/>
          <w:bCs/>
          <w:sz w:val="24"/>
          <w:szCs w:val="24"/>
          <w:vertAlign w:val="superscript"/>
        </w:rPr>
        <w:t>-1</w:t>
      </w:r>
      <w:r w:rsidRPr="004C1D8B">
        <w:rPr>
          <w:rFonts w:ascii="Times New Roman" w:eastAsia="Times New Roman" w:hAnsi="Times New Roman" w:cs="Times New Roman"/>
          <w:b/>
          <w:bCs/>
          <w:sz w:val="24"/>
          <w:szCs w:val="24"/>
        </w:rPr>
        <w:t>). Bland-Altman analysis indicated minor overall bias (+0.009 mg L</w:t>
      </w:r>
      <w:r w:rsidRPr="004C1D8B">
        <w:rPr>
          <w:rFonts w:ascii="Times New Roman" w:eastAsia="Times New Roman" w:hAnsi="Times New Roman" w:cs="Times New Roman"/>
          <w:b/>
          <w:bCs/>
          <w:sz w:val="24"/>
          <w:szCs w:val="24"/>
          <w:vertAlign w:val="superscript"/>
        </w:rPr>
        <w:t>-1</w:t>
      </w:r>
      <w:sdt>
        <w:sdtPr>
          <w:rPr>
            <w:rFonts w:ascii="Times New Roman" w:hAnsi="Times New Roman" w:cs="Times New Roman"/>
            <w:b/>
            <w:bCs/>
            <w:sz w:val="24"/>
            <w:szCs w:val="24"/>
          </w:rPr>
          <w:tag w:val="goog_rdk_1"/>
          <w:id w:val="-1103087154"/>
        </w:sdtPr>
        <w:sdtContent>
          <w:r w:rsidRPr="004C1D8B">
            <w:rPr>
              <w:rFonts w:ascii="Times New Roman" w:eastAsia="Caudex" w:hAnsi="Times New Roman" w:cs="Times New Roman"/>
              <w:b/>
              <w:bCs/>
              <w:sz w:val="24"/>
              <w:szCs w:val="24"/>
            </w:rPr>
            <w:t>), with overestimation at trace levels (&lt;0.025 mg L⁻¹; bias –0.022 mg L⁻¹) and underestimation at higher concentrations (≥0.100 mg L</w:t>
          </w:r>
        </w:sdtContent>
      </w:sdt>
      <w:r w:rsidRPr="004C1D8B">
        <w:rPr>
          <w:rFonts w:ascii="Times New Roman" w:eastAsia="Times New Roman" w:hAnsi="Times New Roman" w:cs="Times New Roman"/>
          <w:b/>
          <w:bCs/>
          <w:sz w:val="24"/>
          <w:szCs w:val="24"/>
          <w:vertAlign w:val="superscript"/>
        </w:rPr>
        <w:t>-1</w:t>
      </w:r>
      <w:r w:rsidRPr="004C1D8B">
        <w:rPr>
          <w:rFonts w:ascii="Times New Roman" w:eastAsia="Times New Roman" w:hAnsi="Times New Roman" w:cs="Times New Roman"/>
          <w:b/>
          <w:bCs/>
          <w:sz w:val="24"/>
          <w:szCs w:val="24"/>
        </w:rPr>
        <w:t>; bias +0.015 mg L</w:t>
      </w:r>
      <w:r w:rsidRPr="004C1D8B">
        <w:rPr>
          <w:rFonts w:ascii="Times New Roman" w:eastAsia="Times New Roman" w:hAnsi="Times New Roman" w:cs="Times New Roman"/>
          <w:b/>
          <w:bCs/>
          <w:sz w:val="24"/>
          <w:szCs w:val="24"/>
          <w:vertAlign w:val="superscript"/>
        </w:rPr>
        <w:t>-1</w:t>
      </w:r>
      <w:r w:rsidRPr="004C1D8B">
        <w:rPr>
          <w:rFonts w:ascii="Times New Roman" w:eastAsia="Times New Roman" w:hAnsi="Times New Roman" w:cs="Times New Roman"/>
          <w:b/>
          <w:bCs/>
          <w:sz w:val="24"/>
          <w:szCs w:val="24"/>
        </w:rPr>
        <w:t>). While sensitivity is limited at trace levels, REFL’s portability and low cost make it an effective field-screening tool in Uruguay, where SRP accounts for 17–100% of total phosphorus and often exceeds the 0.025 mg L</w:t>
      </w:r>
      <w:r w:rsidRPr="004C1D8B">
        <w:rPr>
          <w:rFonts w:ascii="Times New Roman" w:eastAsia="Times New Roman" w:hAnsi="Times New Roman" w:cs="Times New Roman"/>
          <w:b/>
          <w:bCs/>
          <w:sz w:val="24"/>
          <w:szCs w:val="24"/>
          <w:vertAlign w:val="superscript"/>
        </w:rPr>
        <w:t>-1</w:t>
      </w:r>
      <w:r w:rsidRPr="004C1D8B">
        <w:rPr>
          <w:rFonts w:ascii="Times New Roman" w:eastAsia="Times New Roman" w:hAnsi="Times New Roman" w:cs="Times New Roman"/>
          <w:b/>
          <w:bCs/>
          <w:sz w:val="24"/>
          <w:szCs w:val="24"/>
        </w:rPr>
        <w:t xml:space="preserve"> eutrophication threshold. These results support decentralized monitoring networks and advance United Nations Sustainable Development Goals 6 and 14 in resource-limited settings.</w:t>
      </w:r>
    </w:p>
    <w:p w14:paraId="008AE542" w14:textId="77777777" w:rsidR="00027601" w:rsidRPr="004C1D8B" w:rsidRDefault="00027601">
      <w:pPr>
        <w:spacing w:line="360" w:lineRule="auto"/>
        <w:rPr>
          <w:rFonts w:ascii="Times New Roman" w:eastAsia="Times New Roman" w:hAnsi="Times New Roman" w:cs="Times New Roman"/>
          <w:sz w:val="24"/>
          <w:szCs w:val="24"/>
        </w:rPr>
      </w:pPr>
    </w:p>
    <w:p w14:paraId="6B89C53A" w14:textId="77777777" w:rsidR="00027601" w:rsidRPr="004C1D8B" w:rsidRDefault="00000000">
      <w:pPr>
        <w:spacing w:line="360" w:lineRule="auto"/>
        <w:rPr>
          <w:rFonts w:ascii="Times New Roman" w:eastAsia="Times New Roman" w:hAnsi="Times New Roman" w:cs="Times New Roman"/>
          <w:sz w:val="24"/>
          <w:szCs w:val="24"/>
        </w:rPr>
      </w:pPr>
      <w:r w:rsidRPr="004C1D8B">
        <w:rPr>
          <w:rFonts w:ascii="Times New Roman" w:eastAsia="Times New Roman" w:hAnsi="Times New Roman" w:cs="Times New Roman"/>
          <w:b/>
          <w:bCs/>
          <w:sz w:val="24"/>
          <w:szCs w:val="24"/>
        </w:rPr>
        <w:t>Keywords:</w:t>
      </w:r>
      <w:r w:rsidRPr="004C1D8B">
        <w:rPr>
          <w:rFonts w:ascii="Times New Roman" w:eastAsia="Times New Roman" w:hAnsi="Times New Roman" w:cs="Times New Roman"/>
          <w:sz w:val="24"/>
          <w:szCs w:val="24"/>
        </w:rPr>
        <w:t xml:space="preserve"> soluble reactive phosphorus, reflectometry, method validation, eutrophication monitoring, surface water, Bland-Altman analysis.</w:t>
      </w:r>
    </w:p>
    <w:p w14:paraId="1F604161" w14:textId="77777777" w:rsidR="00027601" w:rsidRPr="004C1D8B" w:rsidRDefault="00000000">
      <w:pPr>
        <w:spacing w:line="360" w:lineRule="auto"/>
        <w:rPr>
          <w:rFonts w:ascii="Times New Roman" w:eastAsia="Times New Roman" w:hAnsi="Times New Roman" w:cs="Times New Roman"/>
          <w:sz w:val="24"/>
          <w:szCs w:val="24"/>
        </w:rPr>
      </w:pPr>
      <w:r w:rsidRPr="004C1D8B">
        <w:rPr>
          <w:sz w:val="24"/>
          <w:szCs w:val="24"/>
        </w:rPr>
        <w:br w:type="page"/>
      </w:r>
    </w:p>
    <w:p w14:paraId="4AB8D644"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INTRODUCTION</w:t>
      </w:r>
    </w:p>
    <w:p w14:paraId="3000D91A"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soluble reactive phosphorus (SRP) in surface waters is essential for effective assessment and management of eutrophication. Conventional laboratory techniques, such as UV-</w:t>
      </w:r>
      <w:proofErr w:type="gramStart"/>
      <w:r>
        <w:rPr>
          <w:rFonts w:ascii="Times New Roman" w:eastAsia="Times New Roman" w:hAnsi="Times New Roman" w:cs="Times New Roman"/>
          <w:sz w:val="24"/>
          <w:szCs w:val="24"/>
        </w:rPr>
        <w:t>Vis</w:t>
      </w:r>
      <w:proofErr w:type="gramEnd"/>
      <w:r>
        <w:rPr>
          <w:rFonts w:ascii="Times New Roman" w:eastAsia="Times New Roman" w:hAnsi="Times New Roman" w:cs="Times New Roman"/>
          <w:sz w:val="24"/>
          <w:szCs w:val="24"/>
        </w:rPr>
        <w:t xml:space="preserve"> spectrophotometry (SPEC), are costly, with basic equipment often costing more than US$ 10,000. These methods also require complex sample transport, which may result in analyte degradation within hours or days, and necessitate strict chain-of-custody protocols. Such limitations hinder timely responses to sudden nutrient surges, particularly following rainfall runoff events (Vaughan et al., 2018; Yanu and </w:t>
      </w:r>
      <w:proofErr w:type="spellStart"/>
      <w:r>
        <w:rPr>
          <w:rFonts w:ascii="Times New Roman" w:eastAsia="Times New Roman" w:hAnsi="Times New Roman" w:cs="Times New Roman"/>
          <w:sz w:val="24"/>
          <w:szCs w:val="24"/>
        </w:rPr>
        <w:t>Jakmunee</w:t>
      </w:r>
      <w:proofErr w:type="spellEnd"/>
      <w:r>
        <w:rPr>
          <w:rFonts w:ascii="Times New Roman" w:eastAsia="Times New Roman" w:hAnsi="Times New Roman" w:cs="Times New Roman"/>
          <w:sz w:val="24"/>
          <w:szCs w:val="24"/>
        </w:rPr>
        <w:t xml:space="preserve">, 2015). Portable reflectometric systems, including </w:t>
      </w:r>
      <w:proofErr w:type="spellStart"/>
      <w:r>
        <w:rPr>
          <w:rFonts w:ascii="Times New Roman" w:eastAsia="Times New Roman" w:hAnsi="Times New Roman" w:cs="Times New Roman"/>
          <w:sz w:val="24"/>
          <w:szCs w:val="24"/>
        </w:rPr>
        <w:t>Reflectoquant</w:t>
      </w:r>
      <w:proofErr w:type="spellEnd"/>
      <w:r>
        <w:rPr>
          <w:rFonts w:ascii="Times New Roman" w:eastAsia="Times New Roman" w:hAnsi="Times New Roman" w:cs="Times New Roman"/>
          <w:sz w:val="24"/>
          <w:szCs w:val="24"/>
        </w:rPr>
        <w:t>™ (REFL), address these challenges by enabling on-site, frequent screening and minimizing reliance on laboratory confirmation.</w:t>
      </w:r>
    </w:p>
    <w:p w14:paraId="2B959197"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Phosphorus in natural waters is present as total phosphorus (TP), which is quantified following acid digestion and hydrolysis; as soluble reactive phosphorus (SRP), primarily orthophosphate defined after 0.45 µm filtration; and as a non-reactive dissolved fraction. The molybdenum blue method is widely employed for SRP determination. In this procedure, orthophosphate reacts in an acidic medium with ammonium molybdate and antimony tartrate to produce phosphomolybdic acid. Subsequent reduction by ascorbic acid yields a blue complex, which is quantified at 885 nm using a spectrophotometer (Murphy and Riley, 1962; Nagul et al., 2015).</w:t>
      </w:r>
    </w:p>
    <w:p w14:paraId="23FF0AD9"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increasing use of portable nutrient analyzers underscores the urgent demand for field-deployable monitoring tools (Vaughan et al., 2018). While </w:t>
      </w:r>
      <w:proofErr w:type="spellStart"/>
      <w:r>
        <w:rPr>
          <w:rFonts w:ascii="Times New Roman" w:eastAsia="Times New Roman" w:hAnsi="Times New Roman" w:cs="Times New Roman"/>
          <w:sz w:val="24"/>
          <w:szCs w:val="24"/>
        </w:rPr>
        <w:t>Reflectoquant</w:t>
      </w:r>
      <w:proofErr w:type="spellEnd"/>
      <w:r>
        <w:rPr>
          <w:rFonts w:ascii="Times New Roman" w:eastAsia="Times New Roman" w:hAnsi="Times New Roman" w:cs="Times New Roman"/>
          <w:sz w:val="24"/>
          <w:szCs w:val="24"/>
        </w:rPr>
        <w:t>™ provides rapid, multi-analyte detection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AsO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through color-reactive strips and reflectometry, its accuracy and precision at environmentally relevant trace concentrations (&lt; 0.025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remain underexplored under authentic river-matrix conditions (</w:t>
      </w:r>
      <w:proofErr w:type="spellStart"/>
      <w:r>
        <w:rPr>
          <w:rFonts w:ascii="Times New Roman" w:eastAsia="Times New Roman" w:hAnsi="Times New Roman" w:cs="Times New Roman"/>
          <w:sz w:val="24"/>
          <w:szCs w:val="24"/>
        </w:rPr>
        <w:t>Hošťálková</w:t>
      </w:r>
      <w:proofErr w:type="spellEnd"/>
      <w:r>
        <w:rPr>
          <w:rFonts w:ascii="Times New Roman" w:eastAsia="Times New Roman" w:hAnsi="Times New Roman" w:cs="Times New Roman"/>
          <w:sz w:val="24"/>
          <w:szCs w:val="24"/>
        </w:rPr>
        <w:t xml:space="preserve"> et al., 2013; Vaughan et al., 2018). Eutrophication risk increases when TP exceeds 0.025 mg L⁻¹ in oligotrophic systems, and SRP concentrations above 0.010 mg L⁻¹ indicate mesotrophic conditions (Carpenter, 2008; Sharpley and Wang, 2014). In Uruguay and adjacent South American basins, SRP typically accounts for 17–100% of TP, and concentrations exceeding 0.025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indicate a high likelihood of exceeding eutrophication thresholds (Tables S1 and S2).</w:t>
      </w:r>
    </w:p>
    <w:p w14:paraId="0A4FFB21"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 evaluate REFL as a practical complement to SPEC for eutrophication surveillance, this study tested two null hypotheses: (1) there is no significant monotonic relationship between REFL and SPEC across the full SRP range, and (2) systematic bias exceeds the 95% limits of agreement (± 0.036 mg L⁻¹), indicating that the methods are not equivalent for detecting eutrophic conditions. Rejection of these hypotheses would justify a simple predictive model characterized by statistically significant coefficients (</w:t>
      </w:r>
      <w:r>
        <w:rPr>
          <w:rFonts w:ascii="Times New Roman" w:eastAsia="Times New Roman" w:hAnsi="Times New Roman" w:cs="Times New Roman"/>
          <w:i/>
          <w:iCs/>
          <w:sz w:val="24"/>
          <w:szCs w:val="24"/>
        </w:rPr>
        <w:t>p &lt;</w:t>
      </w:r>
      <w:r>
        <w:rPr>
          <w:rFonts w:ascii="Times New Roman" w:eastAsia="Times New Roman" w:hAnsi="Times New Roman" w:cs="Times New Roman"/>
          <w:sz w:val="24"/>
          <w:szCs w:val="24"/>
        </w:rPr>
        <w:t xml:space="preserve"> 0.05), high adjusted R², and low prediction error. The analysis included synthetic standards (0.01–0.25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and 300 filtered river samples from Uruguayan watersheds (0.01–2.4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measured concurrently by both techniques, using Spearman correlation, multiple regression models (linear, logarithmic, square-root, and quadratic), and Bland–Altman analysis. A further objective was to confirm that the </w:t>
      </w:r>
      <w:proofErr w:type="spellStart"/>
      <w:r>
        <w:rPr>
          <w:rFonts w:ascii="Times New Roman" w:eastAsia="Times New Roman" w:hAnsi="Times New Roman" w:cs="Times New Roman"/>
          <w:sz w:val="24"/>
          <w:szCs w:val="24"/>
        </w:rPr>
        <w:t>Reflectoquant</w:t>
      </w:r>
      <w:proofErr w:type="spellEnd"/>
      <w:r>
        <w:rPr>
          <w:rFonts w:ascii="Times New Roman" w:eastAsia="Times New Roman" w:hAnsi="Times New Roman" w:cs="Times New Roman"/>
          <w:sz w:val="24"/>
          <w:szCs w:val="24"/>
        </w:rPr>
        <w:t xml:space="preserve"> method produces quantitative results of acceptable accuracy and precision within the concentration range most relevant for eutrophication monitoring in Uruguayan surface waters (approximately 0.01–0.1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w:t>
      </w:r>
    </w:p>
    <w:p w14:paraId="3961E1BA" w14:textId="77777777" w:rsidR="00027601" w:rsidRDefault="00027601">
      <w:pPr>
        <w:spacing w:line="360" w:lineRule="auto"/>
        <w:rPr>
          <w:rFonts w:ascii="Times New Roman" w:eastAsia="Times New Roman" w:hAnsi="Times New Roman" w:cs="Times New Roman"/>
          <w:sz w:val="24"/>
          <w:szCs w:val="24"/>
        </w:rPr>
      </w:pPr>
    </w:p>
    <w:p w14:paraId="7B1D7402"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MATERIALS AND METHODS</w:t>
      </w:r>
    </w:p>
    <w:p w14:paraId="33F86FF5"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Quantification Methods</w:t>
      </w:r>
    </w:p>
    <w:p w14:paraId="5CEBCDF6"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Spectrophotometry (SPEC)</w:t>
      </w:r>
    </w:p>
    <w:p w14:paraId="5D494CE7"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Soluble reactive phosphorus (SRP) was determined by the molybdenum blue method (Murphy and Riley, 1962; Worsfold et al., 2005). A 50 mL sample aliquot, filtered through 0.45 µm glass microfiber filters (Ahlstrom-</w:t>
      </w:r>
      <w:proofErr w:type="spellStart"/>
      <w:r>
        <w:rPr>
          <w:rFonts w:ascii="Times New Roman" w:eastAsia="Times New Roman" w:hAnsi="Times New Roman" w:cs="Times New Roman"/>
          <w:sz w:val="24"/>
          <w:szCs w:val="24"/>
        </w:rPr>
        <w:t>Munksjö</w:t>
      </w:r>
      <w:proofErr w:type="spellEnd"/>
      <w:r>
        <w:rPr>
          <w:rFonts w:ascii="Times New Roman" w:eastAsia="Times New Roman" w:hAnsi="Times New Roman" w:cs="Times New Roman"/>
          <w:sz w:val="24"/>
          <w:szCs w:val="24"/>
        </w:rPr>
        <w:t xml:space="preserve">, formerly </w:t>
      </w:r>
      <w:proofErr w:type="spellStart"/>
      <w:r>
        <w:rPr>
          <w:rFonts w:ascii="Times New Roman" w:eastAsia="Times New Roman" w:hAnsi="Times New Roman" w:cs="Times New Roman"/>
          <w:sz w:val="24"/>
          <w:szCs w:val="24"/>
        </w:rPr>
        <w:t>Munktell</w:t>
      </w:r>
      <w:proofErr w:type="spellEnd"/>
      <w:r>
        <w:rPr>
          <w:rFonts w:ascii="Times New Roman" w:eastAsia="Times New Roman" w:hAnsi="Times New Roman" w:cs="Times New Roman"/>
          <w:sz w:val="24"/>
          <w:szCs w:val="24"/>
        </w:rPr>
        <w:t xml:space="preserve">), was mixed with 5 mL of reagent solution containing ammonium molybdate (24.28 mM), sulfuric acid (5 N), ascorbic acid (0.31 M), and potassium antimony tartrate (2.2 mM) (Murphy and Riley, 1962; Nagul et al., 2015). After a 30-minute reaction at room temperature, absorbance was measured at 885 nm using a single-beam UV-Vis spectrophotometer (Milton Roy </w:t>
      </w:r>
      <w:proofErr w:type="spellStart"/>
      <w:r>
        <w:rPr>
          <w:rFonts w:ascii="Times New Roman" w:eastAsia="Times New Roman" w:hAnsi="Times New Roman" w:cs="Times New Roman"/>
          <w:sz w:val="24"/>
          <w:szCs w:val="24"/>
        </w:rPr>
        <w:t>Spectronic</w:t>
      </w:r>
      <w:proofErr w:type="spellEnd"/>
      <w:r>
        <w:rPr>
          <w:rFonts w:ascii="Times New Roman" w:eastAsia="Times New Roman" w:hAnsi="Times New Roman" w:cs="Times New Roman"/>
          <w:sz w:val="24"/>
          <w:szCs w:val="24"/>
        </w:rPr>
        <w:t xml:space="preserve"> 401). Concentrations were calculated by interpolation from a KH₂PO₄ calibration curve (0.01–0.25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Samples exceeding 0.25 mg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were diluted with distilled water.</w:t>
      </w:r>
    </w:p>
    <w:p w14:paraId="60182164" w14:textId="77777777" w:rsidR="00027601" w:rsidRDefault="00027601">
      <w:pPr>
        <w:spacing w:line="360" w:lineRule="auto"/>
        <w:rPr>
          <w:rFonts w:ascii="Times New Roman" w:eastAsia="Times New Roman" w:hAnsi="Times New Roman" w:cs="Times New Roman"/>
          <w:sz w:val="24"/>
          <w:szCs w:val="24"/>
        </w:rPr>
      </w:pPr>
    </w:p>
    <w:p w14:paraId="10341EBE" w14:textId="77777777" w:rsidR="004C1D8B" w:rsidRDefault="004C1D8B">
      <w:pPr>
        <w:spacing w:line="360" w:lineRule="auto"/>
        <w:rPr>
          <w:rFonts w:ascii="Times New Roman" w:eastAsia="Times New Roman" w:hAnsi="Times New Roman" w:cs="Times New Roman"/>
          <w:sz w:val="24"/>
          <w:szCs w:val="24"/>
        </w:rPr>
      </w:pPr>
    </w:p>
    <w:p w14:paraId="18C5F39D"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Reflectometry (REFL)</w:t>
      </w:r>
    </w:p>
    <w:p w14:paraId="7D1F924B"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Reflectometric determination was performed using the </w:t>
      </w:r>
      <w:proofErr w:type="spellStart"/>
      <w:r>
        <w:rPr>
          <w:rFonts w:ascii="Times New Roman" w:eastAsia="Times New Roman" w:hAnsi="Times New Roman" w:cs="Times New Roman"/>
          <w:sz w:val="24"/>
          <w:szCs w:val="24"/>
        </w:rPr>
        <w:t>ReflectoquantTM</w:t>
      </w:r>
      <w:proofErr w:type="spellEnd"/>
      <w:r>
        <w:rPr>
          <w:rFonts w:ascii="Times New Roman" w:eastAsia="Times New Roman" w:hAnsi="Times New Roman" w:cs="Times New Roman"/>
          <w:sz w:val="24"/>
          <w:szCs w:val="24"/>
        </w:rPr>
        <w:t xml:space="preserve"> orthophosphate test kit (Cat. No. 1.17942.0001, Merck) and an </w:t>
      </w:r>
      <w:proofErr w:type="spellStart"/>
      <w:r>
        <w:rPr>
          <w:rFonts w:ascii="Times New Roman" w:eastAsia="Times New Roman" w:hAnsi="Times New Roman" w:cs="Times New Roman"/>
          <w:sz w:val="24"/>
          <w:szCs w:val="24"/>
        </w:rPr>
        <w:t>RQflexTM</w:t>
      </w:r>
      <w:proofErr w:type="spellEnd"/>
      <w:r>
        <w:rPr>
          <w:rFonts w:ascii="Times New Roman" w:eastAsia="Times New Roman" w:hAnsi="Times New Roman" w:cs="Times New Roman"/>
          <w:sz w:val="24"/>
          <w:szCs w:val="24"/>
        </w:rPr>
        <w:t xml:space="preserve"> plus 10 </w:t>
      </w:r>
      <w:proofErr w:type="gramStart"/>
      <w:r>
        <w:rPr>
          <w:rFonts w:ascii="Times New Roman" w:eastAsia="Times New Roman" w:hAnsi="Times New Roman" w:cs="Times New Roman"/>
          <w:sz w:val="24"/>
          <w:szCs w:val="24"/>
        </w:rPr>
        <w:t>reflectometer</w:t>
      </w:r>
      <w:proofErr w:type="gramEnd"/>
      <w:r>
        <w:rPr>
          <w:rFonts w:ascii="Times New Roman" w:eastAsia="Times New Roman" w:hAnsi="Times New Roman" w:cs="Times New Roman"/>
          <w:sz w:val="24"/>
          <w:szCs w:val="24"/>
        </w:rPr>
        <w:t xml:space="preserve"> (Cat. No. 1.16955.0001, Merck KGaA). The kit quantifies concentrations ranging from 0.1 to 5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equivalent to 0.033 to 1.63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For samples with concentrations below 0.033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a 4:1 fortification with a 0.48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standard solution was applied, and results were corrected by back-calculation. All measurements were conducted according to the manufacturer’s instructions using a cuvette adapter.</w:t>
      </w:r>
    </w:p>
    <w:p w14:paraId="3F3C334B" w14:textId="77777777" w:rsidR="00027601" w:rsidRDefault="00027601">
      <w:pPr>
        <w:spacing w:line="360" w:lineRule="auto"/>
        <w:rPr>
          <w:rFonts w:ascii="Times New Roman" w:eastAsia="Times New Roman" w:hAnsi="Times New Roman" w:cs="Times New Roman"/>
          <w:sz w:val="24"/>
          <w:szCs w:val="24"/>
        </w:rPr>
      </w:pPr>
    </w:p>
    <w:p w14:paraId="03889B64"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Sample collection and preparation</w:t>
      </w:r>
    </w:p>
    <w:p w14:paraId="2ABE0852"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Orthophosphate standard solutions</w:t>
      </w:r>
    </w:p>
    <w:p w14:paraId="57520615" w14:textId="69767B50" w:rsidR="00027601" w:rsidRDefault="00000000">
      <w:pPr>
        <w:spacing w:before="120" w:line="360" w:lineRule="auto"/>
        <w:jc w:val="left"/>
      </w:pPr>
      <w:r>
        <w:rPr>
          <w:rFonts w:ascii="Times New Roman" w:eastAsia="Times New Roman" w:hAnsi="Times New Roman" w:cs="Times New Roman"/>
          <w:sz w:val="24"/>
          <w:szCs w:val="24"/>
        </w:rPr>
        <w:t>A stock solution (250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equivalent to 81.5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was prepared and diluted with Milli-Q™ water to produce 13 working standards: 0.010, 0.020, 0.030, 0.040, 0.050, 0.060, 0.070, 0.080, 0.090, 0.100, 0.150, 0.200, and 0.250 mg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-P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Each standard was analyzed in triplicate. Data are available at</w:t>
      </w:r>
      <w:r w:rsidR="0081315B">
        <w:t xml:space="preserve"> </w:t>
      </w:r>
      <w:hyperlink r:id="rId11" w:history="1">
        <w:r w:rsidR="0081315B" w:rsidRPr="0081315B">
          <w:rPr>
            <w:rStyle w:val="Hipervnculo"/>
            <w:rFonts w:ascii="Times New Roman" w:hAnsi="Times New Roman" w:cs="Times New Roman"/>
            <w:sz w:val="24"/>
            <w:szCs w:val="24"/>
          </w:rPr>
          <w:t>https://gitlab.com/lcarrascol/reflectoquant_prs/snippets/6032465.git</w:t>
        </w:r>
      </w:hyperlink>
      <w:r>
        <w:rPr>
          <w:rFonts w:ascii="Times New Roman" w:eastAsia="Times New Roman" w:hAnsi="Times New Roman" w:cs="Times New Roman"/>
          <w:sz w:val="24"/>
          <w:szCs w:val="24"/>
        </w:rPr>
        <w:t>.</w:t>
      </w:r>
    </w:p>
    <w:p w14:paraId="00C03ABC" w14:textId="77777777" w:rsidR="00027601" w:rsidRDefault="00027601">
      <w:pPr>
        <w:spacing w:line="360" w:lineRule="auto"/>
        <w:rPr>
          <w:rFonts w:ascii="Times New Roman" w:eastAsia="Times New Roman" w:hAnsi="Times New Roman" w:cs="Times New Roman"/>
          <w:sz w:val="24"/>
          <w:szCs w:val="24"/>
        </w:rPr>
      </w:pPr>
    </w:p>
    <w:p w14:paraId="6999EF5F"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Surface water samples</w:t>
      </w:r>
    </w:p>
    <w:p w14:paraId="51810EBE" w14:textId="41D80809" w:rsidR="00027601" w:rsidRPr="004C1D8B" w:rsidRDefault="00000000">
      <w:pPr>
        <w:spacing w:before="120" w:line="360" w:lineRule="auto"/>
        <w:rPr>
          <w:rFonts w:ascii="Times New Roman" w:hAnsi="Times New Roman" w:cs="Times New Roman"/>
        </w:rPr>
      </w:pPr>
      <w:sdt>
        <w:sdtPr>
          <w:rPr>
            <w:rFonts w:ascii="Times New Roman" w:hAnsi="Times New Roman" w:cs="Times New Roman"/>
          </w:rPr>
          <w:tag w:val="goog_rdk_2"/>
          <w:id w:val="1684124250"/>
        </w:sdtPr>
        <w:sdtContent>
          <w:r w:rsidRPr="004C1D8B">
            <w:rPr>
              <w:rFonts w:ascii="Times New Roman" w:eastAsia="Gungsuh" w:hAnsi="Times New Roman" w:cs="Times New Roman"/>
              <w:sz w:val="24"/>
              <w:szCs w:val="24"/>
            </w:rPr>
            <w:t>In November 2014, 300 surface water samples were collected from 100 Uruguayan watersheds using Kemmerer bottles as part of the INIA national water-quality of agricultural watersheds funded by the INIA Grant SA27. One river was excluded as an outlier, as reported by Carrasco-Letelier et al. (2014). Samples were immediately filtered in the field using pre-calcined (500 °C) 0.45 µm glass microfiber discs (Ahlstrom-</w:t>
          </w:r>
          <w:proofErr w:type="spellStart"/>
          <w:r w:rsidRPr="004C1D8B">
            <w:rPr>
              <w:rFonts w:ascii="Times New Roman" w:eastAsia="Gungsuh" w:hAnsi="Times New Roman" w:cs="Times New Roman"/>
              <w:sz w:val="24"/>
              <w:szCs w:val="24"/>
            </w:rPr>
            <w:t>Munksjö</w:t>
          </w:r>
          <w:proofErr w:type="spellEnd"/>
          <w:r w:rsidRPr="004C1D8B">
            <w:rPr>
              <w:rFonts w:ascii="Times New Roman" w:eastAsia="Gungsuh" w:hAnsi="Times New Roman" w:cs="Times New Roman"/>
              <w:sz w:val="24"/>
              <w:szCs w:val="24"/>
            </w:rPr>
            <w:t>; Worsfold et al., 2005). Filtrates were stored at 4 °C and transported to the laboratory within 8 hours. Samples not analyzed on the day of collection were frozen at −20 °C and analyzed within one month. The dataset is available at</w:t>
          </w:r>
        </w:sdtContent>
      </w:sdt>
      <w:hyperlink r:id="rId12">
        <w:r w:rsidR="00027601" w:rsidRPr="004C1D8B">
          <w:rPr>
            <w:rFonts w:ascii="Times New Roman" w:eastAsia="Times New Roman" w:hAnsi="Times New Roman" w:cs="Times New Roman"/>
            <w:sz w:val="24"/>
            <w:szCs w:val="24"/>
          </w:rPr>
          <w:t xml:space="preserve"> </w:t>
        </w:r>
      </w:hyperlink>
      <w:hyperlink r:id="rId13" w:history="1">
        <w:r w:rsidR="0081315B" w:rsidRPr="0081315B">
          <w:rPr>
            <w:rStyle w:val="Hipervnculo"/>
            <w:rFonts w:ascii="Times New Roman" w:hAnsi="Times New Roman" w:cs="Times New Roman"/>
            <w:sz w:val="24"/>
            <w:szCs w:val="24"/>
          </w:rPr>
          <w:t>https://gitlab.com/lcarrascol/reflectoquant_prs/snippets/6032465.git</w:t>
        </w:r>
      </w:hyperlink>
      <w:r w:rsidR="0081315B">
        <w:rPr>
          <w:rFonts w:ascii="Times New Roman" w:eastAsia="Times New Roman" w:hAnsi="Times New Roman" w:cs="Times New Roman"/>
          <w:sz w:val="24"/>
          <w:szCs w:val="24"/>
        </w:rPr>
        <w:t>.</w:t>
      </w:r>
    </w:p>
    <w:p w14:paraId="5F1F5E4C" w14:textId="77777777" w:rsidR="00027601" w:rsidRDefault="00027601">
      <w:pPr>
        <w:spacing w:line="360" w:lineRule="auto"/>
        <w:rPr>
          <w:rFonts w:ascii="Times New Roman" w:eastAsia="Times New Roman" w:hAnsi="Times New Roman" w:cs="Times New Roman"/>
          <w:sz w:val="24"/>
          <w:szCs w:val="24"/>
        </w:rPr>
      </w:pPr>
    </w:p>
    <w:p w14:paraId="51716A31"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Data Analysis</w:t>
      </w:r>
    </w:p>
    <w:p w14:paraId="0703B8D0"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Agreement between methods was evaluated using Spearman’s rank correlation, linear regression models (simple, logarithmic, square-root, and second-degree polynomial), and Bland-Altman analysis. Model performance was assessed by adjusted R², root mean square error (RMSE), mean absolute error (MAE), and residual diagnostics, including the Shapiro-Wilk test for normality, Breusch-Pagan test, and Levene’s test for homoscedasticity.</w:t>
      </w:r>
    </w:p>
    <w:p w14:paraId="34D5C354"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Precision, accuracy, uncertainty, and limit of detection (LOD) were calculated according to ISO 5725 (ISO, 2019, 2023) and EURACHEM guidelines (Cantwell, 2024; Ellison and Williams, 2015) using averages of triplicate samples. The equations used are presented in the Supplementary Material.</w:t>
      </w:r>
    </w:p>
    <w:p w14:paraId="07B33719" w14:textId="77777777" w:rsidR="00027601" w:rsidRDefault="00027601">
      <w:pPr>
        <w:spacing w:line="360" w:lineRule="auto"/>
        <w:rPr>
          <w:rFonts w:ascii="Times New Roman" w:eastAsia="Times New Roman" w:hAnsi="Times New Roman" w:cs="Times New Roman"/>
          <w:sz w:val="24"/>
          <w:szCs w:val="24"/>
        </w:rPr>
      </w:pPr>
    </w:p>
    <w:p w14:paraId="01557BCC"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Software</w:t>
      </w:r>
    </w:p>
    <w:p w14:paraId="477B000D"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statistical analyses were performed in R version 4.5.1 (R Core Team, 2025) using the packages </w:t>
      </w:r>
      <w:proofErr w:type="spellStart"/>
      <w:r>
        <w:rPr>
          <w:rFonts w:ascii="Times New Roman" w:eastAsia="Times New Roman" w:hAnsi="Times New Roman" w:cs="Times New Roman"/>
          <w:sz w:val="24"/>
          <w:szCs w:val="24"/>
        </w:rPr>
        <w:t>readr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dplyr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tidyr</w:t>
      </w:r>
      <w:proofErr w:type="spellEnd"/>
      <w:r>
        <w:rPr>
          <w:rFonts w:ascii="Times New Roman" w:eastAsia="Times New Roman" w:hAnsi="Times New Roman" w:cs="Times New Roman"/>
          <w:sz w:val="24"/>
          <w:szCs w:val="24"/>
        </w:rPr>
        <w:t xml:space="preserve">, stats, </w:t>
      </w:r>
      <w:proofErr w:type="spellStart"/>
      <w:r>
        <w:rPr>
          <w:rFonts w:ascii="Times New Roman" w:eastAsia="Times New Roman" w:hAnsi="Times New Roman" w:cs="Times New Roman"/>
          <w:sz w:val="24"/>
          <w:szCs w:val="24"/>
        </w:rPr>
        <w:t>lmtest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BlandAltmanLeh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MethComp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blandr</w:t>
      </w:r>
      <w:proofErr w:type="spellEnd"/>
      <w:r>
        <w:rPr>
          <w:rFonts w:ascii="Times New Roman" w:eastAsia="Times New Roman" w:hAnsi="Times New Roman" w:cs="Times New Roman"/>
          <w:sz w:val="24"/>
          <w:szCs w:val="24"/>
        </w:rPr>
        <w:t xml:space="preserve">, car, broom, Metrics, ggplot2, and </w:t>
      </w:r>
      <w:proofErr w:type="spellStart"/>
      <w:r>
        <w:rPr>
          <w:rFonts w:ascii="Times New Roman" w:eastAsia="Times New Roman" w:hAnsi="Times New Roman" w:cs="Times New Roman"/>
          <w:sz w:val="24"/>
          <w:szCs w:val="24"/>
        </w:rPr>
        <w:t>gridExtra</w:t>
      </w:r>
      <w:proofErr w:type="spellEnd"/>
      <w:r>
        <w:rPr>
          <w:rFonts w:ascii="Times New Roman" w:eastAsia="Times New Roman" w:hAnsi="Times New Roman" w:cs="Times New Roman"/>
          <w:sz w:val="24"/>
          <w:szCs w:val="24"/>
        </w:rPr>
        <w:t>.</w:t>
      </w:r>
    </w:p>
    <w:p w14:paraId="54BDBC61" w14:textId="77777777" w:rsidR="00027601" w:rsidRDefault="00027601">
      <w:pPr>
        <w:spacing w:before="120" w:line="360" w:lineRule="auto"/>
        <w:rPr>
          <w:rFonts w:ascii="Times New Roman" w:eastAsia="Times New Roman" w:hAnsi="Times New Roman" w:cs="Times New Roman"/>
          <w:sz w:val="24"/>
          <w:szCs w:val="24"/>
        </w:rPr>
      </w:pPr>
    </w:p>
    <w:p w14:paraId="0DF0A963"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RESULTS</w:t>
      </w:r>
    </w:p>
    <w:p w14:paraId="649EEDC4"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Spearman's correlation </w:t>
      </w:r>
    </w:p>
    <w:p w14:paraId="401457E3"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strong positive monotonic relationship was observed between </w:t>
      </w:r>
      <w:proofErr w:type="spellStart"/>
      <w:r>
        <w:rPr>
          <w:rFonts w:ascii="Times New Roman" w:eastAsia="Times New Roman" w:hAnsi="Times New Roman" w:cs="Times New Roman"/>
          <w:sz w:val="24"/>
          <w:szCs w:val="24"/>
        </w:rPr>
        <w:t>Reflectoquant</w:t>
      </w:r>
      <w:proofErr w:type="spellEnd"/>
      <w:r>
        <w:rPr>
          <w:rFonts w:ascii="Times New Roman" w:eastAsia="Times New Roman" w:hAnsi="Times New Roman" w:cs="Times New Roman"/>
          <w:sz w:val="24"/>
          <w:szCs w:val="24"/>
        </w:rPr>
        <w:t>™ (REFL) and spectrophotometry (SPEC), both in standard solutions (</w:t>
      </w:r>
      <w:r>
        <w:rPr>
          <w:rFonts w:ascii="Times New Roman" w:eastAsia="Times New Roman" w:hAnsi="Times New Roman" w:cs="Times New Roman"/>
          <w:i/>
          <w:iCs/>
          <w:sz w:val="24"/>
          <w:szCs w:val="24"/>
        </w:rPr>
        <w:t xml:space="preserve">ρ </w:t>
      </w:r>
      <w:r>
        <w:rPr>
          <w:rFonts w:ascii="Times New Roman" w:eastAsia="Times New Roman" w:hAnsi="Times New Roman" w:cs="Times New Roman"/>
          <w:sz w:val="24"/>
          <w:szCs w:val="24"/>
        </w:rPr>
        <w:t xml:space="preserve">= 0.98, </w:t>
      </w:r>
      <w:r>
        <w:rPr>
          <w:rFonts w:ascii="Times New Roman" w:eastAsia="Times New Roman" w:hAnsi="Times New Roman" w:cs="Times New Roman"/>
          <w:i/>
          <w:iCs/>
          <w:sz w:val="24"/>
          <w:szCs w:val="24"/>
        </w:rPr>
        <w:t>p &lt;</w:t>
      </w:r>
      <w:r>
        <w:rPr>
          <w:rFonts w:ascii="Times New Roman" w:eastAsia="Times New Roman" w:hAnsi="Times New Roman" w:cs="Times New Roman"/>
          <w:sz w:val="24"/>
          <w:szCs w:val="24"/>
        </w:rPr>
        <w:t xml:space="preserve"> 2.2 × 10⁻</w:t>
      </w:r>
      <w:r>
        <w:rPr>
          <w:rFonts w:ascii="Times New Roman" w:eastAsia="Times New Roman" w:hAnsi="Times New Roman" w:cs="Times New Roman"/>
          <w:sz w:val="24"/>
          <w:szCs w:val="24"/>
          <w:vertAlign w:val="superscript"/>
        </w:rPr>
        <w:t>16</w:t>
      </w:r>
      <w:r>
        <w:rPr>
          <w:rFonts w:ascii="Times New Roman" w:eastAsia="Times New Roman" w:hAnsi="Times New Roman" w:cs="Times New Roman"/>
          <w:sz w:val="24"/>
          <w:szCs w:val="24"/>
        </w:rPr>
        <w:t>) and in river samples (</w:t>
      </w:r>
      <w:r>
        <w:rPr>
          <w:rFonts w:ascii="Times New Roman" w:eastAsia="Times New Roman" w:hAnsi="Times New Roman" w:cs="Times New Roman"/>
          <w:i/>
          <w:iCs/>
          <w:sz w:val="24"/>
          <w:szCs w:val="24"/>
        </w:rPr>
        <w:t>ρ</w:t>
      </w:r>
      <w:r>
        <w:rPr>
          <w:rFonts w:ascii="Times New Roman" w:eastAsia="Times New Roman" w:hAnsi="Times New Roman" w:cs="Times New Roman"/>
          <w:sz w:val="24"/>
          <w:szCs w:val="24"/>
        </w:rPr>
        <w:t xml:space="preserve"> = 0.89, </w:t>
      </w:r>
      <w:r>
        <w:rPr>
          <w:rFonts w:ascii="Times New Roman" w:eastAsia="Times New Roman" w:hAnsi="Times New Roman" w:cs="Times New Roman"/>
          <w:i/>
          <w:iCs/>
          <w:sz w:val="24"/>
          <w:szCs w:val="24"/>
        </w:rPr>
        <w:t xml:space="preserve">p &lt; </w:t>
      </w:r>
      <w:r>
        <w:rPr>
          <w:rFonts w:ascii="Times New Roman" w:eastAsia="Times New Roman" w:hAnsi="Times New Roman" w:cs="Times New Roman"/>
          <w:sz w:val="24"/>
          <w:szCs w:val="24"/>
        </w:rPr>
        <w:t>2.2 × 10</w:t>
      </w:r>
      <w:r>
        <w:rPr>
          <w:rFonts w:ascii="Times New Roman" w:eastAsia="Times New Roman" w:hAnsi="Times New Roman" w:cs="Times New Roman"/>
          <w:sz w:val="24"/>
          <w:szCs w:val="24"/>
          <w:vertAlign w:val="superscript"/>
        </w:rPr>
        <w:t>-16</w:t>
      </w:r>
      <w:r>
        <w:rPr>
          <w:rFonts w:ascii="Times New Roman" w:eastAsia="Times New Roman" w:hAnsi="Times New Roman" w:cs="Times New Roman"/>
          <w:sz w:val="24"/>
          <w:szCs w:val="24"/>
        </w:rPr>
        <w:t>).</w:t>
      </w:r>
    </w:p>
    <w:p w14:paraId="677C7794" w14:textId="77777777" w:rsidR="00027601" w:rsidRDefault="00027601">
      <w:pPr>
        <w:spacing w:line="360" w:lineRule="auto"/>
        <w:rPr>
          <w:rFonts w:ascii="Times New Roman" w:eastAsia="Times New Roman" w:hAnsi="Times New Roman" w:cs="Times New Roman"/>
          <w:sz w:val="24"/>
          <w:szCs w:val="24"/>
        </w:rPr>
      </w:pPr>
    </w:p>
    <w:p w14:paraId="2D0459FC"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Regression analyses</w:t>
      </w:r>
    </w:p>
    <w:p w14:paraId="1AFCDDA2"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Simple linear regression performed best overall in both datasets (Table 1, Figure 1).</w:t>
      </w:r>
    </w:p>
    <w:p w14:paraId="71CF5575" w14:textId="77777777" w:rsidR="00027601" w:rsidRDefault="00027601">
      <w:pPr>
        <w:spacing w:line="360" w:lineRule="auto"/>
        <w:rPr>
          <w:rFonts w:ascii="Times New Roman" w:eastAsia="Times New Roman" w:hAnsi="Times New Roman" w:cs="Times New Roman"/>
          <w:sz w:val="24"/>
          <w:szCs w:val="24"/>
        </w:rPr>
      </w:pPr>
    </w:p>
    <w:p w14:paraId="3A0E5FE4" w14:textId="77777777" w:rsidR="00027601" w:rsidRDefault="00000000">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33A61A2A" wp14:editId="064691C8">
            <wp:extent cx="3046095" cy="271018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3046095" cy="2710180"/>
                    </a:xfrm>
                    <a:prstGeom prst="rect">
                      <a:avLst/>
                    </a:prstGeom>
                    <a:ln/>
                  </pic:spPr>
                </pic:pic>
              </a:graphicData>
            </a:graphic>
          </wp:inline>
        </w:drawing>
      </w:r>
    </w:p>
    <w:p w14:paraId="5481875E" w14:textId="77777777" w:rsidR="00027601"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 1. Scatter plots of REFL vs. SPEC for river samples, with simple linear regression lines.</w:t>
      </w:r>
    </w:p>
    <w:p w14:paraId="0832FD50" w14:textId="77777777" w:rsidR="00027601" w:rsidRDefault="00027601">
      <w:pPr>
        <w:spacing w:line="360" w:lineRule="auto"/>
        <w:rPr>
          <w:rFonts w:ascii="Times New Roman" w:eastAsia="Times New Roman" w:hAnsi="Times New Roman" w:cs="Times New Roman"/>
          <w:sz w:val="24"/>
          <w:szCs w:val="24"/>
        </w:rPr>
      </w:pPr>
    </w:p>
    <w:p w14:paraId="272CA993"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Standard solutions</w:t>
      </w:r>
    </w:p>
    <w:p w14:paraId="77723920" w14:textId="77777777" w:rsidR="00027601" w:rsidRDefault="00000000">
      <w:pPr>
        <w:spacing w:before="120" w:line="36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Simple linear regression produced an adjusted R² of 0.972, an RMSE of 0.01 mg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and an MAE of 0.009 mg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In comparison, alternative models, including logarithmic, square-root, and quadratic forms, demonstrated inferior fit, with adjusted R² values not exceeding 0.973 and exhibiting higher RMSE or MAE values as well as less favorable residual diagnostics (Table 1).</w:t>
      </w:r>
    </w:p>
    <w:p w14:paraId="740680D3" w14:textId="77777777" w:rsidR="00027601" w:rsidRDefault="00027601">
      <w:pPr>
        <w:spacing w:line="360" w:lineRule="auto"/>
        <w:rPr>
          <w:rFonts w:ascii="Times New Roman" w:eastAsia="Times New Roman" w:hAnsi="Times New Roman" w:cs="Times New Roman"/>
          <w:sz w:val="24"/>
          <w:szCs w:val="24"/>
        </w:rPr>
      </w:pPr>
    </w:p>
    <w:p w14:paraId="388916C3"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River samples</w:t>
      </w:r>
    </w:p>
    <w:p w14:paraId="7E3B1745" w14:textId="77777777" w:rsidR="00027601" w:rsidRPr="0081315B" w:rsidRDefault="00000000">
      <w:pPr>
        <w:spacing w:before="12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Simple linear regression yielded the best performance (adjusted R² = 0.99, RMSE = 0.018 mg L⁻</w:t>
      </w:r>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 MAE = 0.013 mg L⁻</w:t>
      </w:r>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 Fig. 1). Logarithmic, square-root, and quadratic models demonstrated inferior performance, with adjusted R² values ranging from 0.55 to 0.997, higher errors, and clear violations of residual assumptions. In the low-concentration subset (&lt; 0.025 mg L⁻</w:t>
      </w:r>
      <w:r w:rsidRPr="0081315B">
        <w:rPr>
          <w:rFonts w:ascii="Times New Roman" w:eastAsia="Times New Roman" w:hAnsi="Times New Roman" w:cs="Times New Roman"/>
          <w:sz w:val="24"/>
          <w:szCs w:val="24"/>
          <w:vertAlign w:val="superscript"/>
        </w:rPr>
        <w:t>1</w:t>
      </w:r>
      <w:sdt>
        <w:sdtPr>
          <w:rPr>
            <w:rFonts w:ascii="Times New Roman" w:hAnsi="Times New Roman" w:cs="Times New Roman"/>
          </w:rPr>
          <w:tag w:val="goog_rdk_3"/>
          <w:id w:val="20819101"/>
        </w:sdtPr>
        <w:sdtContent>
          <w:r w:rsidRPr="0081315B">
            <w:rPr>
              <w:rFonts w:ascii="Times New Roman" w:eastAsia="Gungsuh" w:hAnsi="Times New Roman" w:cs="Times New Roman"/>
              <w:sz w:val="24"/>
              <w:szCs w:val="24"/>
            </w:rPr>
            <w:t>, n = 29), all models exhibited poor fit (adjusted R² ≤ 0.49), primarily due to constant REFL readings of 0.04 mg L⁻¹. Table 1 provides a comprehensive comparison of all regression models.</w:t>
          </w:r>
        </w:sdtContent>
      </w:sdt>
    </w:p>
    <w:p w14:paraId="3BF8A981"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Polynomial regression could not be applied to the </w:t>
      </w:r>
      <w:proofErr w:type="spellStart"/>
      <w:r>
        <w:rPr>
          <w:rFonts w:ascii="Times New Roman" w:eastAsia="Times New Roman" w:hAnsi="Times New Roman" w:cs="Times New Roman"/>
          <w:sz w:val="24"/>
          <w:szCs w:val="24"/>
        </w:rPr>
        <w:t>rivers_low</w:t>
      </w:r>
      <w:proofErr w:type="spellEnd"/>
      <w:r>
        <w:rPr>
          <w:rFonts w:ascii="Times New Roman" w:eastAsia="Times New Roman" w:hAnsi="Times New Roman" w:cs="Times New Roman"/>
          <w:sz w:val="24"/>
          <w:szCs w:val="24"/>
        </w:rPr>
        <w:t xml:space="preserve"> dataset because </w:t>
      </w:r>
      <w:proofErr w:type="spellStart"/>
      <w:r>
        <w:rPr>
          <w:rFonts w:ascii="Times New Roman" w:eastAsia="Times New Roman" w:hAnsi="Times New Roman" w:cs="Times New Roman"/>
          <w:sz w:val="24"/>
          <w:szCs w:val="24"/>
        </w:rPr>
        <w:t>SPC_rivers</w:t>
      </w:r>
      <w:proofErr w:type="spellEnd"/>
      <w:r>
        <w:rPr>
          <w:rFonts w:ascii="Times New Roman" w:eastAsia="Times New Roman" w:hAnsi="Times New Roman" w:cs="Times New Roman"/>
          <w:sz w:val="24"/>
          <w:szCs w:val="24"/>
        </w:rPr>
        <w:t xml:space="preserve"> (spectrophotometry measurements for river samples) lacked sufficient unique values to estimate coefficients and perform diagnostic analysis.</w:t>
      </w:r>
    </w:p>
    <w:p w14:paraId="4D8B8205" w14:textId="77777777" w:rsidR="00027601"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Table 1: Performance of different regression models for predicting REFL from SPEC. River low corresponds to a concentration lower than 0.025.</w:t>
      </w:r>
    </w:p>
    <w:tbl>
      <w:tblPr>
        <w:tblStyle w:val="a3"/>
        <w:tblpPr w:leftFromText="180" w:rightFromText="180" w:topFromText="180" w:bottomFromText="180" w:vertAnchor="text"/>
        <w:tblW w:w="9359" w:type="dxa"/>
        <w:tblInd w:w="0" w:type="dxa"/>
        <w:tblLayout w:type="fixed"/>
        <w:tblLook w:val="0600" w:firstRow="0" w:lastRow="0" w:firstColumn="0" w:lastColumn="0" w:noHBand="1" w:noVBand="1"/>
      </w:tblPr>
      <w:tblGrid>
        <w:gridCol w:w="1257"/>
        <w:gridCol w:w="2432"/>
        <w:gridCol w:w="991"/>
        <w:gridCol w:w="1065"/>
        <w:gridCol w:w="779"/>
        <w:gridCol w:w="1170"/>
        <w:gridCol w:w="1665"/>
      </w:tblGrid>
      <w:tr w:rsidR="00027601" w14:paraId="6FCEB2FC" w14:textId="77777777">
        <w:trPr>
          <w:trHeight w:val="500"/>
        </w:trPr>
        <w:tc>
          <w:tcPr>
            <w:tcW w:w="1257" w:type="dxa"/>
            <w:tcBorders>
              <w:top w:val="single" w:sz="8" w:space="0" w:color="000000"/>
              <w:bottom w:val="single" w:sz="4" w:space="0" w:color="000000"/>
            </w:tcBorders>
          </w:tcPr>
          <w:p w14:paraId="7C07D094"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Dataset</w:t>
            </w:r>
          </w:p>
        </w:tc>
        <w:tc>
          <w:tcPr>
            <w:tcW w:w="2432" w:type="dxa"/>
            <w:tcBorders>
              <w:top w:val="single" w:sz="8" w:space="0" w:color="000000"/>
              <w:bottom w:val="single" w:sz="4" w:space="0" w:color="000000"/>
            </w:tcBorders>
          </w:tcPr>
          <w:p w14:paraId="52D9CB01"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Model</w:t>
            </w:r>
          </w:p>
        </w:tc>
        <w:tc>
          <w:tcPr>
            <w:tcW w:w="991" w:type="dxa"/>
            <w:tcBorders>
              <w:top w:val="single" w:sz="8" w:space="0" w:color="000000"/>
              <w:bottom w:val="single" w:sz="4" w:space="0" w:color="000000"/>
            </w:tcBorders>
          </w:tcPr>
          <w:p w14:paraId="084DCE5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Adj. R²</w:t>
            </w:r>
          </w:p>
        </w:tc>
        <w:tc>
          <w:tcPr>
            <w:tcW w:w="1065" w:type="dxa"/>
            <w:tcBorders>
              <w:top w:val="single" w:sz="8" w:space="0" w:color="000000"/>
              <w:bottom w:val="single" w:sz="4" w:space="0" w:color="000000"/>
            </w:tcBorders>
          </w:tcPr>
          <w:p w14:paraId="2BF1A571"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RMSE</w:t>
            </w:r>
          </w:p>
        </w:tc>
        <w:tc>
          <w:tcPr>
            <w:tcW w:w="779" w:type="dxa"/>
            <w:tcBorders>
              <w:top w:val="single" w:sz="8" w:space="0" w:color="000000"/>
              <w:bottom w:val="single" w:sz="4" w:space="0" w:color="000000"/>
            </w:tcBorders>
          </w:tcPr>
          <w:p w14:paraId="70649E9D"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MAE</w:t>
            </w:r>
          </w:p>
        </w:tc>
        <w:tc>
          <w:tcPr>
            <w:tcW w:w="1170" w:type="dxa"/>
            <w:tcBorders>
              <w:top w:val="single" w:sz="8" w:space="0" w:color="000000"/>
              <w:bottom w:val="single" w:sz="4" w:space="0" w:color="000000"/>
            </w:tcBorders>
          </w:tcPr>
          <w:p w14:paraId="5F25E093"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Shapiro - Wilks</w:t>
            </w:r>
          </w:p>
        </w:tc>
        <w:tc>
          <w:tcPr>
            <w:tcW w:w="1665" w:type="dxa"/>
            <w:tcBorders>
              <w:top w:val="single" w:sz="8" w:space="0" w:color="000000"/>
              <w:bottom w:val="single" w:sz="4" w:space="0" w:color="000000"/>
            </w:tcBorders>
          </w:tcPr>
          <w:p w14:paraId="4B2544D6"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Breusch - Pagan</w:t>
            </w:r>
          </w:p>
        </w:tc>
      </w:tr>
      <w:tr w:rsidR="00027601" w14:paraId="3C8116ED" w14:textId="77777777">
        <w:trPr>
          <w:trHeight w:val="500"/>
        </w:trPr>
        <w:tc>
          <w:tcPr>
            <w:tcW w:w="1257" w:type="dxa"/>
            <w:tcBorders>
              <w:top w:val="single" w:sz="4" w:space="0" w:color="000000"/>
            </w:tcBorders>
          </w:tcPr>
          <w:p w14:paraId="67B5674E"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Standards</w:t>
            </w:r>
          </w:p>
        </w:tc>
        <w:tc>
          <w:tcPr>
            <w:tcW w:w="2432" w:type="dxa"/>
            <w:tcBorders>
              <w:top w:val="single" w:sz="4" w:space="0" w:color="000000"/>
            </w:tcBorders>
          </w:tcPr>
          <w:p w14:paraId="3548FB9F"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Simple linear</w:t>
            </w:r>
          </w:p>
        </w:tc>
        <w:tc>
          <w:tcPr>
            <w:tcW w:w="991" w:type="dxa"/>
            <w:tcBorders>
              <w:top w:val="single" w:sz="4" w:space="0" w:color="000000"/>
            </w:tcBorders>
          </w:tcPr>
          <w:p w14:paraId="4BE9C5E6"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0.972</w:t>
            </w:r>
          </w:p>
        </w:tc>
        <w:tc>
          <w:tcPr>
            <w:tcW w:w="1065" w:type="dxa"/>
            <w:tcBorders>
              <w:top w:val="single" w:sz="4" w:space="0" w:color="000000"/>
            </w:tcBorders>
          </w:tcPr>
          <w:p w14:paraId="6259D8CD"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0.010</w:t>
            </w:r>
          </w:p>
        </w:tc>
        <w:tc>
          <w:tcPr>
            <w:tcW w:w="779" w:type="dxa"/>
            <w:tcBorders>
              <w:top w:val="single" w:sz="4" w:space="0" w:color="000000"/>
            </w:tcBorders>
          </w:tcPr>
          <w:p w14:paraId="2BDF1EEB"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0.009</w:t>
            </w:r>
          </w:p>
        </w:tc>
        <w:tc>
          <w:tcPr>
            <w:tcW w:w="1170" w:type="dxa"/>
            <w:tcBorders>
              <w:top w:val="single" w:sz="4" w:space="0" w:color="000000"/>
            </w:tcBorders>
          </w:tcPr>
          <w:p w14:paraId="29B1ED2C"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0.050</w:t>
            </w:r>
          </w:p>
        </w:tc>
        <w:tc>
          <w:tcPr>
            <w:tcW w:w="1665" w:type="dxa"/>
            <w:tcBorders>
              <w:top w:val="single" w:sz="4" w:space="0" w:color="000000"/>
            </w:tcBorders>
          </w:tcPr>
          <w:p w14:paraId="29E4759F"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0.105</w:t>
            </w:r>
          </w:p>
        </w:tc>
      </w:tr>
      <w:tr w:rsidR="00027601" w14:paraId="44C5AB5D" w14:textId="77777777">
        <w:trPr>
          <w:trHeight w:val="500"/>
        </w:trPr>
        <w:tc>
          <w:tcPr>
            <w:tcW w:w="1257" w:type="dxa"/>
          </w:tcPr>
          <w:p w14:paraId="3F59447C"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Standards</w:t>
            </w:r>
          </w:p>
        </w:tc>
        <w:tc>
          <w:tcPr>
            <w:tcW w:w="2432" w:type="dxa"/>
          </w:tcPr>
          <w:p w14:paraId="5EA52056"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Logarithmic</w:t>
            </w:r>
          </w:p>
        </w:tc>
        <w:tc>
          <w:tcPr>
            <w:tcW w:w="991" w:type="dxa"/>
          </w:tcPr>
          <w:p w14:paraId="7FD67488"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0.856</w:t>
            </w:r>
          </w:p>
        </w:tc>
        <w:tc>
          <w:tcPr>
            <w:tcW w:w="1065" w:type="dxa"/>
          </w:tcPr>
          <w:p w14:paraId="614177D2"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2.634</w:t>
            </w:r>
          </w:p>
        </w:tc>
        <w:tc>
          <w:tcPr>
            <w:tcW w:w="779" w:type="dxa"/>
          </w:tcPr>
          <w:p w14:paraId="279E9B3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2.583</w:t>
            </w:r>
          </w:p>
        </w:tc>
        <w:tc>
          <w:tcPr>
            <w:tcW w:w="1170" w:type="dxa"/>
          </w:tcPr>
          <w:p w14:paraId="0AB5645A"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665" w:type="dxa"/>
          </w:tcPr>
          <w:p w14:paraId="6BD77C3A"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0.097</w:t>
            </w:r>
          </w:p>
        </w:tc>
      </w:tr>
      <w:tr w:rsidR="00027601" w14:paraId="27E03CE8" w14:textId="77777777">
        <w:trPr>
          <w:trHeight w:val="500"/>
        </w:trPr>
        <w:tc>
          <w:tcPr>
            <w:tcW w:w="1257" w:type="dxa"/>
          </w:tcPr>
          <w:p w14:paraId="6E4BF702"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Standards</w:t>
            </w:r>
          </w:p>
        </w:tc>
        <w:tc>
          <w:tcPr>
            <w:tcW w:w="2432" w:type="dxa"/>
          </w:tcPr>
          <w:p w14:paraId="734FFAF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Square-root</w:t>
            </w:r>
          </w:p>
        </w:tc>
        <w:tc>
          <w:tcPr>
            <w:tcW w:w="991" w:type="dxa"/>
          </w:tcPr>
          <w:p w14:paraId="5E5BBDA8"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0.937</w:t>
            </w:r>
          </w:p>
        </w:tc>
        <w:tc>
          <w:tcPr>
            <w:tcW w:w="1065" w:type="dxa"/>
          </w:tcPr>
          <w:p w14:paraId="0087AD7A"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0.205</w:t>
            </w:r>
          </w:p>
        </w:tc>
        <w:tc>
          <w:tcPr>
            <w:tcW w:w="779" w:type="dxa"/>
          </w:tcPr>
          <w:p w14:paraId="7016D3D2"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0.202</w:t>
            </w:r>
          </w:p>
        </w:tc>
        <w:tc>
          <w:tcPr>
            <w:tcW w:w="1170" w:type="dxa"/>
          </w:tcPr>
          <w:p w14:paraId="36C9097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c>
          <w:tcPr>
            <w:tcW w:w="1665" w:type="dxa"/>
          </w:tcPr>
          <w:p w14:paraId="597CE814"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0.441</w:t>
            </w:r>
          </w:p>
        </w:tc>
      </w:tr>
      <w:tr w:rsidR="00027601" w14:paraId="33F26566" w14:textId="77777777">
        <w:trPr>
          <w:trHeight w:val="500"/>
        </w:trPr>
        <w:tc>
          <w:tcPr>
            <w:tcW w:w="1257" w:type="dxa"/>
          </w:tcPr>
          <w:p w14:paraId="608D4A80"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Standards</w:t>
            </w:r>
          </w:p>
        </w:tc>
        <w:tc>
          <w:tcPr>
            <w:tcW w:w="2432" w:type="dxa"/>
          </w:tcPr>
          <w:p w14:paraId="276FEF83"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Polynomial (degree 2)</w:t>
            </w:r>
          </w:p>
        </w:tc>
        <w:tc>
          <w:tcPr>
            <w:tcW w:w="991" w:type="dxa"/>
          </w:tcPr>
          <w:p w14:paraId="0C44345B"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0.973</w:t>
            </w:r>
          </w:p>
        </w:tc>
        <w:tc>
          <w:tcPr>
            <w:tcW w:w="1065" w:type="dxa"/>
          </w:tcPr>
          <w:p w14:paraId="2F9950A4"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0.010</w:t>
            </w:r>
          </w:p>
        </w:tc>
        <w:tc>
          <w:tcPr>
            <w:tcW w:w="779" w:type="dxa"/>
          </w:tcPr>
          <w:p w14:paraId="27B7654B"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0.008</w:t>
            </w:r>
          </w:p>
        </w:tc>
        <w:tc>
          <w:tcPr>
            <w:tcW w:w="1170" w:type="dxa"/>
          </w:tcPr>
          <w:p w14:paraId="41B5AD30"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0.101</w:t>
            </w:r>
          </w:p>
        </w:tc>
        <w:tc>
          <w:tcPr>
            <w:tcW w:w="1665" w:type="dxa"/>
          </w:tcPr>
          <w:p w14:paraId="71C1D41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0.021</w:t>
            </w:r>
          </w:p>
        </w:tc>
      </w:tr>
      <w:tr w:rsidR="00027601" w14:paraId="12194C51" w14:textId="77777777">
        <w:trPr>
          <w:trHeight w:val="500"/>
        </w:trPr>
        <w:tc>
          <w:tcPr>
            <w:tcW w:w="1257" w:type="dxa"/>
          </w:tcPr>
          <w:p w14:paraId="7528DB62"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Rivers</w:t>
            </w:r>
          </w:p>
        </w:tc>
        <w:tc>
          <w:tcPr>
            <w:tcW w:w="2432" w:type="dxa"/>
          </w:tcPr>
          <w:p w14:paraId="3B753CEE"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Simple linear</w:t>
            </w:r>
          </w:p>
        </w:tc>
        <w:tc>
          <w:tcPr>
            <w:tcW w:w="991" w:type="dxa"/>
          </w:tcPr>
          <w:p w14:paraId="1BAF59E5"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0.995</w:t>
            </w:r>
          </w:p>
        </w:tc>
        <w:tc>
          <w:tcPr>
            <w:tcW w:w="1065" w:type="dxa"/>
          </w:tcPr>
          <w:p w14:paraId="31185B18"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0.018</w:t>
            </w:r>
          </w:p>
        </w:tc>
        <w:tc>
          <w:tcPr>
            <w:tcW w:w="779" w:type="dxa"/>
          </w:tcPr>
          <w:p w14:paraId="0E6B645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0.013</w:t>
            </w:r>
          </w:p>
        </w:tc>
        <w:tc>
          <w:tcPr>
            <w:tcW w:w="1170" w:type="dxa"/>
          </w:tcPr>
          <w:p w14:paraId="48F50F0F"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c>
          <w:tcPr>
            <w:tcW w:w="1665" w:type="dxa"/>
          </w:tcPr>
          <w:p w14:paraId="7C4F87CA"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r>
      <w:tr w:rsidR="00027601" w14:paraId="1457B7F2" w14:textId="77777777">
        <w:trPr>
          <w:trHeight w:val="500"/>
        </w:trPr>
        <w:tc>
          <w:tcPr>
            <w:tcW w:w="1257" w:type="dxa"/>
          </w:tcPr>
          <w:p w14:paraId="6F9183AF"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Rivers</w:t>
            </w:r>
          </w:p>
        </w:tc>
        <w:tc>
          <w:tcPr>
            <w:tcW w:w="2432" w:type="dxa"/>
          </w:tcPr>
          <w:p w14:paraId="3C75BC9F"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Logarithmic</w:t>
            </w:r>
          </w:p>
        </w:tc>
        <w:tc>
          <w:tcPr>
            <w:tcW w:w="991" w:type="dxa"/>
          </w:tcPr>
          <w:p w14:paraId="0BD1F6E8"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0.549</w:t>
            </w:r>
          </w:p>
        </w:tc>
        <w:tc>
          <w:tcPr>
            <w:tcW w:w="1065" w:type="dxa"/>
          </w:tcPr>
          <w:p w14:paraId="10F9DF4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2.631</w:t>
            </w:r>
          </w:p>
        </w:tc>
        <w:tc>
          <w:tcPr>
            <w:tcW w:w="779" w:type="dxa"/>
          </w:tcPr>
          <w:p w14:paraId="5CF754B9"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2.616</w:t>
            </w:r>
          </w:p>
        </w:tc>
        <w:tc>
          <w:tcPr>
            <w:tcW w:w="1170" w:type="dxa"/>
          </w:tcPr>
          <w:p w14:paraId="177A2450"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c>
          <w:tcPr>
            <w:tcW w:w="1665" w:type="dxa"/>
          </w:tcPr>
          <w:p w14:paraId="43CFC224"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r>
      <w:tr w:rsidR="00027601" w14:paraId="3F37ACD9" w14:textId="77777777">
        <w:trPr>
          <w:trHeight w:val="500"/>
        </w:trPr>
        <w:tc>
          <w:tcPr>
            <w:tcW w:w="1257" w:type="dxa"/>
          </w:tcPr>
          <w:p w14:paraId="043882BA"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Rivers</w:t>
            </w:r>
          </w:p>
        </w:tc>
        <w:tc>
          <w:tcPr>
            <w:tcW w:w="2432" w:type="dxa"/>
          </w:tcPr>
          <w:p w14:paraId="06FBDBD0"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Square-root</w:t>
            </w:r>
          </w:p>
        </w:tc>
        <w:tc>
          <w:tcPr>
            <w:tcW w:w="991" w:type="dxa"/>
          </w:tcPr>
          <w:p w14:paraId="072C5D8F"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0.855</w:t>
            </w:r>
          </w:p>
        </w:tc>
        <w:tc>
          <w:tcPr>
            <w:tcW w:w="1065" w:type="dxa"/>
          </w:tcPr>
          <w:p w14:paraId="4C0DE3C2"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0.199</w:t>
            </w:r>
          </w:p>
        </w:tc>
        <w:tc>
          <w:tcPr>
            <w:tcW w:w="779" w:type="dxa"/>
          </w:tcPr>
          <w:p w14:paraId="4BE754C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0.194</w:t>
            </w:r>
          </w:p>
        </w:tc>
        <w:tc>
          <w:tcPr>
            <w:tcW w:w="1170" w:type="dxa"/>
          </w:tcPr>
          <w:p w14:paraId="04AC4531"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c>
          <w:tcPr>
            <w:tcW w:w="1665" w:type="dxa"/>
          </w:tcPr>
          <w:p w14:paraId="5FE715AE"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r>
      <w:tr w:rsidR="00027601" w14:paraId="2918A1EA" w14:textId="77777777">
        <w:trPr>
          <w:trHeight w:val="500"/>
        </w:trPr>
        <w:tc>
          <w:tcPr>
            <w:tcW w:w="1257" w:type="dxa"/>
          </w:tcPr>
          <w:p w14:paraId="55EEC53E"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Rivers</w:t>
            </w:r>
          </w:p>
        </w:tc>
        <w:tc>
          <w:tcPr>
            <w:tcW w:w="2432" w:type="dxa"/>
          </w:tcPr>
          <w:p w14:paraId="4411AF25"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Quadratic</w:t>
            </w:r>
          </w:p>
        </w:tc>
        <w:tc>
          <w:tcPr>
            <w:tcW w:w="991" w:type="dxa"/>
          </w:tcPr>
          <w:p w14:paraId="7578ED30"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0.997</w:t>
            </w:r>
          </w:p>
        </w:tc>
        <w:tc>
          <w:tcPr>
            <w:tcW w:w="1065" w:type="dxa"/>
          </w:tcPr>
          <w:p w14:paraId="3B3046F8"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0.0148</w:t>
            </w:r>
          </w:p>
        </w:tc>
        <w:tc>
          <w:tcPr>
            <w:tcW w:w="779" w:type="dxa"/>
          </w:tcPr>
          <w:p w14:paraId="461F6DBD"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0.012</w:t>
            </w:r>
          </w:p>
        </w:tc>
        <w:tc>
          <w:tcPr>
            <w:tcW w:w="1170" w:type="dxa"/>
          </w:tcPr>
          <w:p w14:paraId="3EC1B6BD"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c>
          <w:tcPr>
            <w:tcW w:w="1665" w:type="dxa"/>
          </w:tcPr>
          <w:p w14:paraId="288C4AA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r>
      <w:tr w:rsidR="00027601" w14:paraId="22124E21" w14:textId="77777777">
        <w:trPr>
          <w:trHeight w:val="500"/>
        </w:trPr>
        <w:tc>
          <w:tcPr>
            <w:tcW w:w="1257" w:type="dxa"/>
          </w:tcPr>
          <w:p w14:paraId="31085F28"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Rivers low</w:t>
            </w:r>
          </w:p>
        </w:tc>
        <w:tc>
          <w:tcPr>
            <w:tcW w:w="2432" w:type="dxa"/>
          </w:tcPr>
          <w:p w14:paraId="29375082"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Simple linear</w:t>
            </w:r>
          </w:p>
        </w:tc>
        <w:tc>
          <w:tcPr>
            <w:tcW w:w="991" w:type="dxa"/>
          </w:tcPr>
          <w:p w14:paraId="4A184FEF"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0.455</w:t>
            </w:r>
          </w:p>
        </w:tc>
        <w:tc>
          <w:tcPr>
            <w:tcW w:w="1065" w:type="dxa"/>
          </w:tcPr>
          <w:p w14:paraId="21BF7352"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779" w:type="dxa"/>
          </w:tcPr>
          <w:p w14:paraId="48B7CF0E"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170" w:type="dxa"/>
          </w:tcPr>
          <w:p w14:paraId="4E8F23C0"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c>
          <w:tcPr>
            <w:tcW w:w="1665" w:type="dxa"/>
          </w:tcPr>
          <w:p w14:paraId="645B6A85"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0.547</w:t>
            </w:r>
          </w:p>
        </w:tc>
      </w:tr>
      <w:tr w:rsidR="00027601" w14:paraId="7540BADD" w14:textId="77777777">
        <w:trPr>
          <w:trHeight w:val="500"/>
        </w:trPr>
        <w:tc>
          <w:tcPr>
            <w:tcW w:w="1257" w:type="dxa"/>
          </w:tcPr>
          <w:p w14:paraId="334C0B5A"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Rivers low</w:t>
            </w:r>
          </w:p>
        </w:tc>
        <w:tc>
          <w:tcPr>
            <w:tcW w:w="2432" w:type="dxa"/>
          </w:tcPr>
          <w:p w14:paraId="075C3A7D"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Logarithmic</w:t>
            </w:r>
          </w:p>
        </w:tc>
        <w:tc>
          <w:tcPr>
            <w:tcW w:w="991" w:type="dxa"/>
          </w:tcPr>
          <w:p w14:paraId="783C8920"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0.455</w:t>
            </w:r>
          </w:p>
        </w:tc>
        <w:tc>
          <w:tcPr>
            <w:tcW w:w="1065" w:type="dxa"/>
          </w:tcPr>
          <w:p w14:paraId="456587E9"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3.259</w:t>
            </w:r>
          </w:p>
        </w:tc>
        <w:tc>
          <w:tcPr>
            <w:tcW w:w="779" w:type="dxa"/>
          </w:tcPr>
          <w:p w14:paraId="631BD613"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3.259</w:t>
            </w:r>
          </w:p>
        </w:tc>
        <w:tc>
          <w:tcPr>
            <w:tcW w:w="1170" w:type="dxa"/>
          </w:tcPr>
          <w:p w14:paraId="3DF08E5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c>
          <w:tcPr>
            <w:tcW w:w="1665" w:type="dxa"/>
          </w:tcPr>
          <w:p w14:paraId="5091679C"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0.547</w:t>
            </w:r>
          </w:p>
        </w:tc>
      </w:tr>
      <w:tr w:rsidR="00027601" w14:paraId="46A6A716" w14:textId="77777777">
        <w:trPr>
          <w:trHeight w:val="500"/>
        </w:trPr>
        <w:tc>
          <w:tcPr>
            <w:tcW w:w="1257" w:type="dxa"/>
            <w:tcBorders>
              <w:bottom w:val="single" w:sz="8" w:space="0" w:color="000000"/>
            </w:tcBorders>
          </w:tcPr>
          <w:p w14:paraId="4F4D9F67"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Rivers low</w:t>
            </w:r>
          </w:p>
        </w:tc>
        <w:tc>
          <w:tcPr>
            <w:tcW w:w="2432" w:type="dxa"/>
            <w:tcBorders>
              <w:bottom w:val="single" w:sz="8" w:space="0" w:color="000000"/>
            </w:tcBorders>
          </w:tcPr>
          <w:p w14:paraId="6FE91AA4"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Square-root</w:t>
            </w:r>
          </w:p>
        </w:tc>
        <w:tc>
          <w:tcPr>
            <w:tcW w:w="991" w:type="dxa"/>
            <w:tcBorders>
              <w:bottom w:val="single" w:sz="8" w:space="0" w:color="000000"/>
            </w:tcBorders>
          </w:tcPr>
          <w:p w14:paraId="5CAFF8D1"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0.492</w:t>
            </w:r>
          </w:p>
        </w:tc>
        <w:tc>
          <w:tcPr>
            <w:tcW w:w="1065" w:type="dxa"/>
            <w:tcBorders>
              <w:bottom w:val="single" w:sz="8" w:space="0" w:color="000000"/>
            </w:tcBorders>
          </w:tcPr>
          <w:p w14:paraId="65E951D9"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0.160</w:t>
            </w:r>
          </w:p>
        </w:tc>
        <w:tc>
          <w:tcPr>
            <w:tcW w:w="779" w:type="dxa"/>
            <w:tcBorders>
              <w:bottom w:val="single" w:sz="8" w:space="0" w:color="000000"/>
            </w:tcBorders>
          </w:tcPr>
          <w:p w14:paraId="42F5EF90"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0.160</w:t>
            </w:r>
          </w:p>
        </w:tc>
        <w:tc>
          <w:tcPr>
            <w:tcW w:w="1170" w:type="dxa"/>
            <w:tcBorders>
              <w:bottom w:val="single" w:sz="8" w:space="0" w:color="000000"/>
            </w:tcBorders>
          </w:tcPr>
          <w:p w14:paraId="6FF43935"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c>
          <w:tcPr>
            <w:tcW w:w="1665" w:type="dxa"/>
            <w:tcBorders>
              <w:bottom w:val="single" w:sz="8" w:space="0" w:color="000000"/>
            </w:tcBorders>
          </w:tcPr>
          <w:p w14:paraId="0743948D"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0.547</w:t>
            </w:r>
          </w:p>
        </w:tc>
      </w:tr>
    </w:tbl>
    <w:p w14:paraId="0264C3DF" w14:textId="77777777" w:rsidR="00027601" w:rsidRDefault="00027601">
      <w:pPr>
        <w:spacing w:line="360" w:lineRule="auto"/>
        <w:rPr>
          <w:rFonts w:ascii="Times New Roman" w:eastAsia="Times New Roman" w:hAnsi="Times New Roman" w:cs="Times New Roman"/>
          <w:b/>
          <w:bCs/>
          <w:sz w:val="24"/>
          <w:szCs w:val="24"/>
        </w:rPr>
      </w:pPr>
    </w:p>
    <w:p w14:paraId="6EBB036C"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Bland-Altman Analysis</w:t>
      </w:r>
    </w:p>
    <w:p w14:paraId="177F3608" w14:textId="77777777" w:rsidR="00027601" w:rsidRPr="0081315B" w:rsidRDefault="00000000">
      <w:pPr>
        <w:spacing w:before="120" w:line="360" w:lineRule="auto"/>
        <w:rPr>
          <w:rFonts w:ascii="Times New Roman" w:eastAsia="Times New Roman" w:hAnsi="Times New Roman" w:cs="Times New Roman"/>
          <w:sz w:val="24"/>
          <w:szCs w:val="24"/>
        </w:rPr>
      </w:pPr>
      <w:sdt>
        <w:sdtPr>
          <w:rPr>
            <w:rFonts w:ascii="Times New Roman" w:hAnsi="Times New Roman" w:cs="Times New Roman"/>
          </w:rPr>
          <w:tag w:val="goog_rdk_4"/>
          <w:id w:val="735719014"/>
        </w:sdtPr>
        <w:sdtContent>
          <w:r w:rsidRPr="0081315B">
            <w:rPr>
              <w:rFonts w:ascii="Times New Roman" w:eastAsia="Caudex" w:hAnsi="Times New Roman" w:cs="Times New Roman"/>
              <w:sz w:val="24"/>
              <w:szCs w:val="24"/>
            </w:rPr>
            <w:t>Bland-Altman analysis for river samples (n = 296 after excluding 4 NA cases, Table 4) revealed an overall mean bias of +0.009 mg L⁻¹ (95% limits of agreement: −0.027 to 0.045 mg L⁻</w:t>
          </w:r>
        </w:sdtContent>
      </w:sdt>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w:t>
      </w:r>
      <w:r w:rsidRPr="0081315B">
        <w:rPr>
          <w:rFonts w:ascii="Times New Roman" w:eastAsia="Times New Roman" w:hAnsi="Times New Roman" w:cs="Times New Roman"/>
          <w:i/>
          <w:iCs/>
          <w:sz w:val="24"/>
          <w:szCs w:val="24"/>
        </w:rPr>
        <w:t xml:space="preserve"> </w:t>
      </w:r>
      <w:r w:rsidRPr="0081315B">
        <w:rPr>
          <w:rFonts w:ascii="Times New Roman" w:eastAsia="Times New Roman" w:hAnsi="Times New Roman" w:cs="Times New Roman"/>
          <w:sz w:val="24"/>
          <w:szCs w:val="24"/>
        </w:rPr>
        <w:t xml:space="preserve">t-test </w:t>
      </w:r>
      <w:r w:rsidRPr="0081315B">
        <w:rPr>
          <w:rFonts w:ascii="Times New Roman" w:eastAsia="Times New Roman" w:hAnsi="Times New Roman" w:cs="Times New Roman"/>
          <w:i/>
          <w:iCs/>
          <w:sz w:val="24"/>
          <w:szCs w:val="24"/>
        </w:rPr>
        <w:t>p =</w:t>
      </w:r>
      <w:r w:rsidRPr="0081315B">
        <w:rPr>
          <w:rFonts w:ascii="Times New Roman" w:eastAsia="Times New Roman" w:hAnsi="Times New Roman" w:cs="Times New Roman"/>
          <w:sz w:val="24"/>
          <w:szCs w:val="24"/>
        </w:rPr>
        <w:t xml:space="preserve"> 5.5 × 10⁻</w:t>
      </w:r>
      <w:r w:rsidRPr="0081315B">
        <w:rPr>
          <w:rFonts w:ascii="Times New Roman" w:eastAsia="Times New Roman" w:hAnsi="Times New Roman" w:cs="Times New Roman"/>
          <w:sz w:val="24"/>
          <w:szCs w:val="24"/>
          <w:vertAlign w:val="superscript"/>
        </w:rPr>
        <w:t>16</w:t>
      </w:r>
      <w:sdt>
        <w:sdtPr>
          <w:rPr>
            <w:rFonts w:ascii="Times New Roman" w:hAnsi="Times New Roman" w:cs="Times New Roman"/>
          </w:rPr>
          <w:tag w:val="goog_rdk_5"/>
          <w:id w:val="-1664186711"/>
        </w:sdtPr>
        <w:sdtContent>
          <w:r w:rsidRPr="0081315B">
            <w:rPr>
              <w:rFonts w:ascii="Times New Roman" w:eastAsia="Caudex" w:hAnsi="Times New Roman" w:cs="Times New Roman"/>
              <w:sz w:val="24"/>
              <w:szCs w:val="24"/>
            </w:rPr>
            <w:t>), indicating that REFL slightly underestimated SPEC overall. The bias was concentration-dependent: at low concentrations (&lt; 0.025 mg L⁻¹, n = 29), REFL overestimated SPEC (mean bias = −0.022 mg L⁻</w:t>
          </w:r>
        </w:sdtContent>
      </w:sdt>
      <w:r w:rsidRPr="0081315B">
        <w:rPr>
          <w:rFonts w:ascii="Times New Roman" w:eastAsia="Times New Roman" w:hAnsi="Times New Roman" w:cs="Times New Roman"/>
          <w:sz w:val="24"/>
          <w:szCs w:val="24"/>
          <w:vertAlign w:val="superscript"/>
        </w:rPr>
        <w:t>1</w:t>
      </w:r>
      <w:sdt>
        <w:sdtPr>
          <w:rPr>
            <w:rFonts w:ascii="Times New Roman" w:hAnsi="Times New Roman" w:cs="Times New Roman"/>
          </w:rPr>
          <w:tag w:val="goog_rdk_6"/>
          <w:id w:val="-420334476"/>
        </w:sdtPr>
        <w:sdtContent>
          <w:r w:rsidRPr="0081315B">
            <w:rPr>
              <w:rFonts w:ascii="Times New Roman" w:eastAsia="Gungsuh" w:hAnsi="Times New Roman" w:cs="Times New Roman"/>
              <w:sz w:val="24"/>
              <w:szCs w:val="24"/>
            </w:rPr>
            <w:t>, 95% limits of agreement: −0.031 to −0.014 mg L⁻</w:t>
          </w:r>
        </w:sdtContent>
      </w:sdt>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w:t>
      </w:r>
      <w:r w:rsidRPr="0081315B">
        <w:rPr>
          <w:rFonts w:ascii="Times New Roman" w:eastAsia="Times New Roman" w:hAnsi="Times New Roman" w:cs="Times New Roman"/>
          <w:i/>
          <w:iCs/>
          <w:sz w:val="24"/>
          <w:szCs w:val="24"/>
        </w:rPr>
        <w:t xml:space="preserve"> </w:t>
      </w:r>
      <w:r w:rsidRPr="0081315B">
        <w:rPr>
          <w:rFonts w:ascii="Times New Roman" w:eastAsia="Times New Roman" w:hAnsi="Times New Roman" w:cs="Times New Roman"/>
          <w:sz w:val="24"/>
          <w:szCs w:val="24"/>
        </w:rPr>
        <w:t xml:space="preserve">t-test </w:t>
      </w:r>
      <w:r w:rsidRPr="0081315B">
        <w:rPr>
          <w:rFonts w:ascii="Times New Roman" w:eastAsia="Times New Roman" w:hAnsi="Times New Roman" w:cs="Times New Roman"/>
          <w:i/>
          <w:iCs/>
          <w:sz w:val="24"/>
          <w:szCs w:val="24"/>
        </w:rPr>
        <w:t>p &lt;</w:t>
      </w:r>
      <w:r w:rsidRPr="0081315B">
        <w:rPr>
          <w:rFonts w:ascii="Times New Roman" w:eastAsia="Times New Roman" w:hAnsi="Times New Roman" w:cs="Times New Roman"/>
          <w:sz w:val="24"/>
          <w:szCs w:val="24"/>
        </w:rPr>
        <w:t xml:space="preserve"> 2.2 × 10⁻</w:t>
      </w:r>
      <w:r w:rsidRPr="0081315B">
        <w:rPr>
          <w:rFonts w:ascii="Times New Roman" w:eastAsia="Times New Roman" w:hAnsi="Times New Roman" w:cs="Times New Roman"/>
          <w:sz w:val="24"/>
          <w:szCs w:val="24"/>
          <w:vertAlign w:val="superscript"/>
        </w:rPr>
        <w:t>16</w:t>
      </w:r>
      <w:sdt>
        <w:sdtPr>
          <w:rPr>
            <w:rFonts w:ascii="Times New Roman" w:hAnsi="Times New Roman" w:cs="Times New Roman"/>
          </w:rPr>
          <w:tag w:val="goog_rdk_7"/>
          <w:id w:val="2096215357"/>
        </w:sdtPr>
        <w:sdtContent>
          <w:r w:rsidRPr="0081315B">
            <w:rPr>
              <w:rFonts w:ascii="Times New Roman" w:eastAsia="Gungsuh" w:hAnsi="Times New Roman" w:cs="Times New Roman"/>
              <w:sz w:val="24"/>
              <w:szCs w:val="24"/>
            </w:rPr>
            <w:t xml:space="preserve">), while at high concentrations (≥ 0.100 mg L⁻¹, n = 136), REFL underestimated SPEC </w:t>
          </w:r>
          <w:r w:rsidRPr="0081315B">
            <w:rPr>
              <w:rFonts w:ascii="Times New Roman" w:eastAsia="Gungsuh" w:hAnsi="Times New Roman" w:cs="Times New Roman"/>
              <w:sz w:val="24"/>
              <w:szCs w:val="24"/>
            </w:rPr>
            <w:lastRenderedPageBreak/>
            <w:t>(mean bias = +0.015 mg L⁻</w:t>
          </w:r>
        </w:sdtContent>
      </w:sdt>
      <w:r w:rsidRPr="0081315B">
        <w:rPr>
          <w:rFonts w:ascii="Times New Roman" w:eastAsia="Times New Roman" w:hAnsi="Times New Roman" w:cs="Times New Roman"/>
          <w:sz w:val="24"/>
          <w:szCs w:val="24"/>
          <w:vertAlign w:val="superscript"/>
        </w:rPr>
        <w:t>1</w:t>
      </w:r>
      <w:sdt>
        <w:sdtPr>
          <w:rPr>
            <w:rFonts w:ascii="Times New Roman" w:hAnsi="Times New Roman" w:cs="Times New Roman"/>
          </w:rPr>
          <w:tag w:val="goog_rdk_8"/>
          <w:id w:val="-1381393347"/>
        </w:sdtPr>
        <w:sdtContent>
          <w:r w:rsidRPr="0081315B">
            <w:rPr>
              <w:rFonts w:ascii="Times New Roman" w:eastAsia="Gungsuh" w:hAnsi="Times New Roman" w:cs="Times New Roman"/>
              <w:sz w:val="24"/>
              <w:szCs w:val="24"/>
            </w:rPr>
            <w:t>, 95% limits of agreement: −0.021 to 0.052 mg L⁻</w:t>
          </w:r>
        </w:sdtContent>
      </w:sdt>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 xml:space="preserve">, t-test </w:t>
      </w:r>
      <w:r w:rsidRPr="0081315B">
        <w:rPr>
          <w:rFonts w:ascii="Times New Roman" w:eastAsia="Times New Roman" w:hAnsi="Times New Roman" w:cs="Times New Roman"/>
          <w:i/>
          <w:iCs/>
          <w:sz w:val="24"/>
          <w:szCs w:val="24"/>
        </w:rPr>
        <w:t>p &lt;</w:t>
      </w:r>
      <w:r w:rsidRPr="0081315B">
        <w:rPr>
          <w:rFonts w:ascii="Times New Roman" w:eastAsia="Times New Roman" w:hAnsi="Times New Roman" w:cs="Times New Roman"/>
          <w:sz w:val="24"/>
          <w:szCs w:val="24"/>
        </w:rPr>
        <w:t xml:space="preserve"> 2.2 × 10⁻</w:t>
      </w:r>
      <w:r w:rsidRPr="0081315B">
        <w:rPr>
          <w:rFonts w:ascii="Times New Roman" w:eastAsia="Times New Roman" w:hAnsi="Times New Roman" w:cs="Times New Roman"/>
          <w:sz w:val="24"/>
          <w:szCs w:val="24"/>
          <w:vertAlign w:val="superscript"/>
        </w:rPr>
        <w:t>16</w:t>
      </w:r>
      <w:r w:rsidRPr="0081315B">
        <w:rPr>
          <w:rFonts w:ascii="Times New Roman" w:eastAsia="Times New Roman" w:hAnsi="Times New Roman" w:cs="Times New Roman"/>
          <w:sz w:val="24"/>
          <w:szCs w:val="24"/>
        </w:rPr>
        <w:t>). No specific outliers were identified; however, greater scatter in the low-concentration data suggests potential analytical variability.</w:t>
      </w:r>
    </w:p>
    <w:p w14:paraId="06489BC3" w14:textId="77777777" w:rsidR="00027601" w:rsidRDefault="00027601">
      <w:pPr>
        <w:spacing w:line="360" w:lineRule="auto"/>
        <w:rPr>
          <w:rFonts w:ascii="Times New Roman" w:eastAsia="Times New Roman" w:hAnsi="Times New Roman" w:cs="Times New Roman"/>
          <w:sz w:val="24"/>
          <w:szCs w:val="24"/>
        </w:rPr>
      </w:pPr>
    </w:p>
    <w:p w14:paraId="2A8C4CED" w14:textId="77777777" w:rsidR="00027601" w:rsidRDefault="00000000">
      <w:pPr>
        <w:spacing w:line="360" w:lineRule="auto"/>
        <w:jc w:val="center"/>
        <w:rPr>
          <w:rFonts w:ascii="Times New Roman" w:eastAsia="Times New Roman" w:hAnsi="Times New Roman" w:cs="Times New Roman"/>
          <w:sz w:val="24"/>
          <w:szCs w:val="24"/>
        </w:rPr>
      </w:pPr>
      <w:r>
        <w:rPr>
          <w:noProof/>
        </w:rPr>
        <w:drawing>
          <wp:inline distT="114300" distB="114300" distL="114300" distR="114300" wp14:anchorId="5C536070" wp14:editId="0A320A4E">
            <wp:extent cx="5326380" cy="3703320"/>
            <wp:effectExtent l="0" t="0" r="762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326380" cy="3703320"/>
                    </a:xfrm>
                    <a:prstGeom prst="rect">
                      <a:avLst/>
                    </a:prstGeom>
                    <a:ln/>
                  </pic:spPr>
                </pic:pic>
              </a:graphicData>
            </a:graphic>
          </wp:inline>
        </w:drawing>
      </w:r>
    </w:p>
    <w:p w14:paraId="636FE5B4" w14:textId="77777777" w:rsidR="00027601" w:rsidRDefault="00027601">
      <w:pPr>
        <w:spacing w:line="360" w:lineRule="auto"/>
        <w:rPr>
          <w:rFonts w:ascii="Times New Roman" w:eastAsia="Times New Roman" w:hAnsi="Times New Roman" w:cs="Times New Roman"/>
          <w:sz w:val="24"/>
          <w:szCs w:val="24"/>
        </w:rPr>
      </w:pPr>
    </w:p>
    <w:p w14:paraId="56CC20C7" w14:textId="77777777" w:rsidR="00027601"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 2. Bland-Altman plot comparing spectrometry and </w:t>
      </w:r>
      <w:proofErr w:type="spellStart"/>
      <w:r>
        <w:rPr>
          <w:rFonts w:ascii="Times New Roman" w:eastAsia="Times New Roman" w:hAnsi="Times New Roman" w:cs="Times New Roman"/>
          <w:b/>
          <w:bCs/>
          <w:sz w:val="24"/>
          <w:szCs w:val="24"/>
        </w:rPr>
        <w:t>Reflectoquant</w:t>
      </w:r>
      <w:proofErr w:type="spellEnd"/>
      <w:r>
        <w:rPr>
          <w:rFonts w:ascii="Times New Roman" w:eastAsia="Times New Roman" w:hAnsi="Times New Roman" w:cs="Times New Roman"/>
          <w:b/>
          <w:bCs/>
          <w:sz w:val="24"/>
          <w:szCs w:val="24"/>
        </w:rPr>
        <w:t>.</w:t>
      </w:r>
    </w:p>
    <w:p w14:paraId="70124BD4" w14:textId="77777777" w:rsidR="00027601" w:rsidRDefault="00000000">
      <w:pPr>
        <w:spacing w:line="360" w:lineRule="auto"/>
        <w:jc w:val="center"/>
        <w:rPr>
          <w:rFonts w:ascii="Times New Roman" w:eastAsia="Times New Roman" w:hAnsi="Times New Roman" w:cs="Times New Roman"/>
          <w:b/>
          <w:bCs/>
          <w:sz w:val="24"/>
          <w:szCs w:val="24"/>
        </w:rPr>
      </w:pPr>
      <w:r>
        <w:br w:type="page"/>
      </w:r>
    </w:p>
    <w:p w14:paraId="08F4068B" w14:textId="77777777" w:rsidR="00027601"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Table 2. Descriptive statistics of SRP concentrations (mean ± SD, range, mg L⁻¹) in standard solutions and river samples.</w:t>
      </w:r>
    </w:p>
    <w:tbl>
      <w:tblPr>
        <w:tblStyle w:val="a4"/>
        <w:tblpPr w:leftFromText="180" w:rightFromText="180" w:topFromText="180" w:bottomFromText="180" w:vertAnchor="text"/>
        <w:tblW w:w="8955" w:type="dxa"/>
        <w:tblInd w:w="0" w:type="dxa"/>
        <w:tblLayout w:type="fixed"/>
        <w:tblLook w:val="0000" w:firstRow="0" w:lastRow="0" w:firstColumn="0" w:lastColumn="0" w:noHBand="0" w:noVBand="0"/>
      </w:tblPr>
      <w:tblGrid>
        <w:gridCol w:w="1320"/>
        <w:gridCol w:w="975"/>
        <w:gridCol w:w="645"/>
        <w:gridCol w:w="3030"/>
        <w:gridCol w:w="2985"/>
      </w:tblGrid>
      <w:tr w:rsidR="00027601" w14:paraId="187CD352" w14:textId="77777777">
        <w:tc>
          <w:tcPr>
            <w:tcW w:w="1320" w:type="dxa"/>
            <w:tcBorders>
              <w:top w:val="single" w:sz="4" w:space="0" w:color="000000"/>
              <w:bottom w:val="single" w:sz="4" w:space="0" w:color="000000"/>
            </w:tcBorders>
            <w:vAlign w:val="bottom"/>
          </w:tcPr>
          <w:p w14:paraId="14ABC629"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Dataset</w:t>
            </w:r>
          </w:p>
        </w:tc>
        <w:tc>
          <w:tcPr>
            <w:tcW w:w="975" w:type="dxa"/>
            <w:tcBorders>
              <w:top w:val="single" w:sz="4" w:space="0" w:color="000000"/>
              <w:bottom w:val="single" w:sz="4" w:space="0" w:color="000000"/>
            </w:tcBorders>
            <w:vAlign w:val="bottom"/>
          </w:tcPr>
          <w:p w14:paraId="1CDDC732"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Subset</w:t>
            </w:r>
          </w:p>
        </w:tc>
        <w:tc>
          <w:tcPr>
            <w:tcW w:w="645" w:type="dxa"/>
            <w:tcBorders>
              <w:top w:val="single" w:sz="4" w:space="0" w:color="000000"/>
              <w:bottom w:val="single" w:sz="4" w:space="0" w:color="000000"/>
            </w:tcBorders>
            <w:vAlign w:val="bottom"/>
          </w:tcPr>
          <w:p w14:paraId="032F9AC4"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3030" w:type="dxa"/>
            <w:tcBorders>
              <w:top w:val="single" w:sz="4" w:space="0" w:color="000000"/>
              <w:bottom w:val="single" w:sz="4" w:space="0" w:color="000000"/>
            </w:tcBorders>
            <w:vAlign w:val="bottom"/>
          </w:tcPr>
          <w:p w14:paraId="5450FD43"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SPEC Mean ± SD (Range)</w:t>
            </w:r>
          </w:p>
        </w:tc>
        <w:tc>
          <w:tcPr>
            <w:tcW w:w="2985" w:type="dxa"/>
            <w:tcBorders>
              <w:top w:val="single" w:sz="4" w:space="0" w:color="000000"/>
              <w:bottom w:val="single" w:sz="4" w:space="0" w:color="000000"/>
            </w:tcBorders>
            <w:vAlign w:val="bottom"/>
          </w:tcPr>
          <w:p w14:paraId="4210C5B0"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REFL Mean ± SD (Range)</w:t>
            </w:r>
          </w:p>
        </w:tc>
      </w:tr>
      <w:tr w:rsidR="00027601" w14:paraId="0DF1EB12" w14:textId="77777777">
        <w:tc>
          <w:tcPr>
            <w:tcW w:w="1320" w:type="dxa"/>
            <w:tcBorders>
              <w:top w:val="single" w:sz="4" w:space="0" w:color="000000"/>
            </w:tcBorders>
          </w:tcPr>
          <w:p w14:paraId="07C3B73A"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Standards</w:t>
            </w:r>
          </w:p>
        </w:tc>
        <w:tc>
          <w:tcPr>
            <w:tcW w:w="975" w:type="dxa"/>
            <w:tcBorders>
              <w:top w:val="single" w:sz="4" w:space="0" w:color="000000"/>
            </w:tcBorders>
          </w:tcPr>
          <w:p w14:paraId="7A58D5A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p>
        </w:tc>
        <w:tc>
          <w:tcPr>
            <w:tcW w:w="645" w:type="dxa"/>
            <w:tcBorders>
              <w:top w:val="single" w:sz="4" w:space="0" w:color="000000"/>
            </w:tcBorders>
          </w:tcPr>
          <w:p w14:paraId="3D09609A"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3030" w:type="dxa"/>
            <w:tcBorders>
              <w:top w:val="single" w:sz="4" w:space="0" w:color="000000"/>
            </w:tcBorders>
          </w:tcPr>
          <w:p w14:paraId="2BCBD461"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0.098 ± 0.068 (0.010–0.250)</w:t>
            </w:r>
          </w:p>
        </w:tc>
        <w:tc>
          <w:tcPr>
            <w:tcW w:w="2985" w:type="dxa"/>
            <w:tcBorders>
              <w:top w:val="single" w:sz="4" w:space="0" w:color="000000"/>
            </w:tcBorders>
          </w:tcPr>
          <w:p w14:paraId="459F5E50"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0.080 ± 0.058 (0.033–0.228)</w:t>
            </w:r>
          </w:p>
        </w:tc>
      </w:tr>
      <w:tr w:rsidR="00027601" w14:paraId="30A8C60B" w14:textId="77777777">
        <w:tc>
          <w:tcPr>
            <w:tcW w:w="1320" w:type="dxa"/>
            <w:tcBorders>
              <w:bottom w:val="single" w:sz="4" w:space="0" w:color="000000"/>
            </w:tcBorders>
          </w:tcPr>
          <w:p w14:paraId="14D3DA5F"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Rivers</w:t>
            </w:r>
          </w:p>
        </w:tc>
        <w:tc>
          <w:tcPr>
            <w:tcW w:w="975" w:type="dxa"/>
            <w:tcBorders>
              <w:bottom w:val="single" w:sz="4" w:space="0" w:color="000000"/>
            </w:tcBorders>
          </w:tcPr>
          <w:p w14:paraId="1E6D3745"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p>
        </w:tc>
        <w:tc>
          <w:tcPr>
            <w:tcW w:w="645" w:type="dxa"/>
            <w:tcBorders>
              <w:bottom w:val="single" w:sz="4" w:space="0" w:color="000000"/>
            </w:tcBorders>
          </w:tcPr>
          <w:p w14:paraId="5EEE13DA"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3030" w:type="dxa"/>
            <w:tcBorders>
              <w:bottom w:val="single" w:sz="4" w:space="0" w:color="000000"/>
            </w:tcBorders>
          </w:tcPr>
          <w:p w14:paraId="6E7C7E77"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0.135 ± 0.259 (0.010–2.320)</w:t>
            </w:r>
          </w:p>
        </w:tc>
        <w:tc>
          <w:tcPr>
            <w:tcW w:w="2985" w:type="dxa"/>
            <w:tcBorders>
              <w:bottom w:val="single" w:sz="4" w:space="0" w:color="000000"/>
            </w:tcBorders>
          </w:tcPr>
          <w:p w14:paraId="390C8721" w14:textId="77777777" w:rsidR="00027601"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0.126 ± 0.248 (0.010–2.480)</w:t>
            </w:r>
          </w:p>
        </w:tc>
      </w:tr>
    </w:tbl>
    <w:p w14:paraId="55C271A8" w14:textId="77777777" w:rsidR="00027601" w:rsidRDefault="00027601">
      <w:pPr>
        <w:spacing w:line="360" w:lineRule="auto"/>
        <w:rPr>
          <w:rFonts w:ascii="Times New Roman" w:eastAsia="Times New Roman" w:hAnsi="Times New Roman" w:cs="Times New Roman"/>
          <w:b/>
          <w:bCs/>
          <w:sz w:val="24"/>
          <w:szCs w:val="24"/>
        </w:rPr>
      </w:pPr>
    </w:p>
    <w:p w14:paraId="205E8B20"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 that the standard deviations exceed the means because SRP concentrations in natural waters are strongly right-skewed (log-normal distribution). Table 2 is descriptive only and does not constitute a formal method comparison.</w:t>
      </w:r>
    </w:p>
    <w:p w14:paraId="660BFC3A" w14:textId="77777777" w:rsidR="00027601" w:rsidRDefault="00027601">
      <w:pPr>
        <w:spacing w:line="360" w:lineRule="auto"/>
        <w:rPr>
          <w:rFonts w:ascii="Times New Roman" w:eastAsia="Times New Roman" w:hAnsi="Times New Roman" w:cs="Times New Roman"/>
          <w:b/>
          <w:bCs/>
          <w:sz w:val="24"/>
          <w:szCs w:val="24"/>
        </w:rPr>
      </w:pPr>
    </w:p>
    <w:p w14:paraId="74D82059" w14:textId="77777777" w:rsidR="00027601" w:rsidRPr="0081315B"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Table 3. Bland-Altman metrics (bias, 95% limits of agreement, SD) for river samples and </w:t>
      </w:r>
      <w:r w:rsidRPr="0081315B">
        <w:rPr>
          <w:rFonts w:ascii="Times New Roman" w:eastAsia="Times New Roman" w:hAnsi="Times New Roman" w:cs="Times New Roman"/>
          <w:b/>
          <w:bCs/>
          <w:sz w:val="24"/>
          <w:szCs w:val="24"/>
        </w:rPr>
        <w:t>subsets.</w:t>
      </w:r>
    </w:p>
    <w:tbl>
      <w:tblPr>
        <w:tblStyle w:val="a5"/>
        <w:tblW w:w="9300" w:type="dxa"/>
        <w:tblInd w:w="-163" w:type="dxa"/>
        <w:tblLayout w:type="fixed"/>
        <w:tblLook w:val="0000" w:firstRow="0" w:lastRow="0" w:firstColumn="0" w:lastColumn="0" w:noHBand="0" w:noVBand="0"/>
      </w:tblPr>
      <w:tblGrid>
        <w:gridCol w:w="2494"/>
        <w:gridCol w:w="1247"/>
        <w:gridCol w:w="1188"/>
        <w:gridCol w:w="2380"/>
        <w:gridCol w:w="1991"/>
      </w:tblGrid>
      <w:tr w:rsidR="00027601" w:rsidRPr="0081315B" w14:paraId="4ECE2876" w14:textId="77777777">
        <w:tc>
          <w:tcPr>
            <w:tcW w:w="2494" w:type="dxa"/>
            <w:tcBorders>
              <w:top w:val="single" w:sz="4" w:space="0" w:color="000000"/>
              <w:bottom w:val="single" w:sz="4" w:space="0" w:color="000000"/>
            </w:tcBorders>
            <w:vAlign w:val="bottom"/>
          </w:tcPr>
          <w:p w14:paraId="225DEA06" w14:textId="77777777" w:rsidR="00027601" w:rsidRPr="0081315B" w:rsidRDefault="00000000" w:rsidP="0081315B">
            <w:pPr>
              <w:spacing w:after="0" w:line="360" w:lineRule="auto"/>
              <w:jc w:val="center"/>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Subset</w:t>
            </w:r>
          </w:p>
        </w:tc>
        <w:tc>
          <w:tcPr>
            <w:tcW w:w="1247" w:type="dxa"/>
            <w:tcBorders>
              <w:top w:val="single" w:sz="4" w:space="0" w:color="000000"/>
              <w:bottom w:val="single" w:sz="4" w:space="0" w:color="000000"/>
            </w:tcBorders>
            <w:vAlign w:val="bottom"/>
          </w:tcPr>
          <w:p w14:paraId="07E7AD0B" w14:textId="77777777" w:rsidR="00027601" w:rsidRPr="0081315B" w:rsidRDefault="00000000" w:rsidP="0081315B">
            <w:pPr>
              <w:spacing w:after="0" w:line="360" w:lineRule="auto"/>
              <w:jc w:val="center"/>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n</w:t>
            </w:r>
          </w:p>
        </w:tc>
        <w:tc>
          <w:tcPr>
            <w:tcW w:w="1188" w:type="dxa"/>
            <w:tcBorders>
              <w:top w:val="single" w:sz="4" w:space="0" w:color="000000"/>
              <w:bottom w:val="single" w:sz="4" w:space="0" w:color="000000"/>
            </w:tcBorders>
            <w:vAlign w:val="bottom"/>
          </w:tcPr>
          <w:p w14:paraId="5DE62FB3" w14:textId="77777777" w:rsidR="00027601" w:rsidRPr="0081315B" w:rsidRDefault="00000000" w:rsidP="0081315B">
            <w:pPr>
              <w:spacing w:after="0" w:line="360" w:lineRule="auto"/>
              <w:jc w:val="center"/>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Mean Bias (mg L⁻</w:t>
            </w:r>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w:t>
            </w:r>
          </w:p>
        </w:tc>
        <w:tc>
          <w:tcPr>
            <w:tcW w:w="2380" w:type="dxa"/>
            <w:tcBorders>
              <w:top w:val="single" w:sz="4" w:space="0" w:color="000000"/>
              <w:bottom w:val="single" w:sz="4" w:space="0" w:color="000000"/>
            </w:tcBorders>
            <w:vAlign w:val="bottom"/>
          </w:tcPr>
          <w:p w14:paraId="62C0C26A" w14:textId="77777777" w:rsidR="00027601" w:rsidRPr="0081315B" w:rsidRDefault="00000000" w:rsidP="0081315B">
            <w:pPr>
              <w:spacing w:after="0" w:line="360" w:lineRule="auto"/>
              <w:jc w:val="center"/>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95% Limits of Agreement (mg L⁻</w:t>
            </w:r>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w:t>
            </w:r>
          </w:p>
        </w:tc>
        <w:tc>
          <w:tcPr>
            <w:tcW w:w="1991" w:type="dxa"/>
            <w:tcBorders>
              <w:top w:val="single" w:sz="4" w:space="0" w:color="000000"/>
              <w:bottom w:val="single" w:sz="4" w:space="0" w:color="000000"/>
            </w:tcBorders>
            <w:vAlign w:val="bottom"/>
          </w:tcPr>
          <w:p w14:paraId="17EF34ED" w14:textId="77777777" w:rsidR="00027601" w:rsidRPr="0081315B" w:rsidRDefault="00000000" w:rsidP="0081315B">
            <w:pPr>
              <w:spacing w:after="0" w:line="360" w:lineRule="auto"/>
              <w:jc w:val="center"/>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SD of Differences (mg L⁻</w:t>
            </w:r>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w:t>
            </w:r>
          </w:p>
        </w:tc>
      </w:tr>
      <w:tr w:rsidR="00027601" w:rsidRPr="0081315B" w14:paraId="7DAB442A" w14:textId="77777777">
        <w:tc>
          <w:tcPr>
            <w:tcW w:w="2494" w:type="dxa"/>
            <w:tcBorders>
              <w:top w:val="single" w:sz="4" w:space="0" w:color="000000"/>
            </w:tcBorders>
          </w:tcPr>
          <w:p w14:paraId="55F311D4"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All</w:t>
            </w:r>
          </w:p>
        </w:tc>
        <w:tc>
          <w:tcPr>
            <w:tcW w:w="1247" w:type="dxa"/>
            <w:tcBorders>
              <w:top w:val="single" w:sz="4" w:space="0" w:color="000000"/>
            </w:tcBorders>
          </w:tcPr>
          <w:p w14:paraId="68FFDF7C"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296</w:t>
            </w:r>
          </w:p>
        </w:tc>
        <w:tc>
          <w:tcPr>
            <w:tcW w:w="1188" w:type="dxa"/>
            <w:tcBorders>
              <w:top w:val="single" w:sz="4" w:space="0" w:color="000000"/>
            </w:tcBorders>
          </w:tcPr>
          <w:p w14:paraId="3B2D8059"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+0.009</w:t>
            </w:r>
          </w:p>
        </w:tc>
        <w:tc>
          <w:tcPr>
            <w:tcW w:w="2380" w:type="dxa"/>
            <w:tcBorders>
              <w:top w:val="single" w:sz="4" w:space="0" w:color="000000"/>
            </w:tcBorders>
          </w:tcPr>
          <w:p w14:paraId="5BA1AA2D"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-0.027 to 0.045</w:t>
            </w:r>
          </w:p>
        </w:tc>
        <w:tc>
          <w:tcPr>
            <w:tcW w:w="1991" w:type="dxa"/>
            <w:tcBorders>
              <w:top w:val="single" w:sz="4" w:space="0" w:color="000000"/>
            </w:tcBorders>
          </w:tcPr>
          <w:p w14:paraId="640A6400"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0.018</w:t>
            </w:r>
          </w:p>
        </w:tc>
      </w:tr>
      <w:tr w:rsidR="00027601" w:rsidRPr="0081315B" w14:paraId="71A3E044" w14:textId="77777777">
        <w:tc>
          <w:tcPr>
            <w:tcW w:w="2494" w:type="dxa"/>
          </w:tcPr>
          <w:p w14:paraId="2E62FC3D"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Low (&lt; 0.025 mg L⁻¹)</w:t>
            </w:r>
          </w:p>
        </w:tc>
        <w:tc>
          <w:tcPr>
            <w:tcW w:w="1247" w:type="dxa"/>
          </w:tcPr>
          <w:p w14:paraId="2673891A"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29</w:t>
            </w:r>
          </w:p>
        </w:tc>
        <w:tc>
          <w:tcPr>
            <w:tcW w:w="1188" w:type="dxa"/>
          </w:tcPr>
          <w:p w14:paraId="395F7539"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-0.022</w:t>
            </w:r>
          </w:p>
        </w:tc>
        <w:tc>
          <w:tcPr>
            <w:tcW w:w="2380" w:type="dxa"/>
          </w:tcPr>
          <w:p w14:paraId="1E20F030"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-0.031 to -0.014</w:t>
            </w:r>
          </w:p>
        </w:tc>
        <w:tc>
          <w:tcPr>
            <w:tcW w:w="1991" w:type="dxa"/>
          </w:tcPr>
          <w:p w14:paraId="70AB2B2A"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0.004</w:t>
            </w:r>
          </w:p>
        </w:tc>
      </w:tr>
      <w:tr w:rsidR="00027601" w:rsidRPr="0081315B" w14:paraId="36A3D30A" w14:textId="77777777">
        <w:tc>
          <w:tcPr>
            <w:tcW w:w="2494" w:type="dxa"/>
            <w:tcBorders>
              <w:bottom w:val="single" w:sz="4" w:space="0" w:color="000000"/>
            </w:tcBorders>
          </w:tcPr>
          <w:p w14:paraId="36DF9434" w14:textId="77777777" w:rsidR="00027601" w:rsidRPr="0081315B" w:rsidRDefault="00000000">
            <w:pPr>
              <w:spacing w:after="0" w:line="360" w:lineRule="auto"/>
              <w:rPr>
                <w:rFonts w:ascii="Times New Roman" w:eastAsia="Times New Roman" w:hAnsi="Times New Roman" w:cs="Times New Roman"/>
                <w:sz w:val="24"/>
                <w:szCs w:val="24"/>
              </w:rPr>
            </w:pPr>
            <w:sdt>
              <w:sdtPr>
                <w:rPr>
                  <w:rFonts w:ascii="Times New Roman" w:hAnsi="Times New Roman" w:cs="Times New Roman"/>
                </w:rPr>
                <w:tag w:val="goog_rdk_9"/>
                <w:id w:val="-687437616"/>
              </w:sdtPr>
              <w:sdtContent>
                <w:r w:rsidRPr="0081315B">
                  <w:rPr>
                    <w:rFonts w:ascii="Times New Roman" w:eastAsia="Gungsuh" w:hAnsi="Times New Roman" w:cs="Times New Roman"/>
                    <w:sz w:val="24"/>
                    <w:szCs w:val="24"/>
                  </w:rPr>
                  <w:t>High (≥ 0.100 mg L⁻¹)</w:t>
                </w:r>
              </w:sdtContent>
            </w:sdt>
          </w:p>
        </w:tc>
        <w:tc>
          <w:tcPr>
            <w:tcW w:w="1247" w:type="dxa"/>
            <w:tcBorders>
              <w:bottom w:val="single" w:sz="4" w:space="0" w:color="000000"/>
            </w:tcBorders>
          </w:tcPr>
          <w:p w14:paraId="3A456057"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136</w:t>
            </w:r>
          </w:p>
        </w:tc>
        <w:tc>
          <w:tcPr>
            <w:tcW w:w="1188" w:type="dxa"/>
            <w:tcBorders>
              <w:bottom w:val="single" w:sz="4" w:space="0" w:color="000000"/>
            </w:tcBorders>
          </w:tcPr>
          <w:p w14:paraId="128DAE18"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+0.015</w:t>
            </w:r>
          </w:p>
        </w:tc>
        <w:tc>
          <w:tcPr>
            <w:tcW w:w="2380" w:type="dxa"/>
            <w:tcBorders>
              <w:bottom w:val="single" w:sz="4" w:space="0" w:color="000000"/>
            </w:tcBorders>
          </w:tcPr>
          <w:p w14:paraId="605C82F1"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-0.021 to 0.052</w:t>
            </w:r>
          </w:p>
        </w:tc>
        <w:tc>
          <w:tcPr>
            <w:tcW w:w="1991" w:type="dxa"/>
            <w:tcBorders>
              <w:bottom w:val="single" w:sz="4" w:space="0" w:color="000000"/>
            </w:tcBorders>
          </w:tcPr>
          <w:p w14:paraId="5818488B" w14:textId="77777777" w:rsidR="00027601" w:rsidRPr="0081315B" w:rsidRDefault="00000000">
            <w:pPr>
              <w:spacing w:after="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0.019</w:t>
            </w:r>
          </w:p>
        </w:tc>
      </w:tr>
    </w:tbl>
    <w:p w14:paraId="45E3F89B" w14:textId="77777777" w:rsidR="00027601" w:rsidRDefault="00027601">
      <w:pPr>
        <w:spacing w:line="360" w:lineRule="auto"/>
        <w:rPr>
          <w:rFonts w:ascii="Times New Roman" w:eastAsia="Times New Roman" w:hAnsi="Times New Roman" w:cs="Times New Roman"/>
          <w:sz w:val="24"/>
          <w:szCs w:val="24"/>
        </w:rPr>
      </w:pPr>
    </w:p>
    <w:p w14:paraId="55C52135"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Precision, accuracy, uncertainty, and limit of detection</w:t>
      </w:r>
    </w:p>
    <w:p w14:paraId="0697D25D" w14:textId="77777777" w:rsidR="00027601" w:rsidRDefault="00000000">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SPEC reference method exhibited a pooled repeatability standard deviation (sᵣ) of 8.1 x 10</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mg L⁻¹ (CVᵣ = 0.91 %) across the 13 concentrations evaluated (0.01–0.25 mg L⁻¹). In contrast, REFL exhibited zero variability in triplicates (CVᵣ = 0.00%) across the ten concentrations evaluated (0.04–0.25 mg L⁻¹), reflecting the discrete resolution of the reflectometric system rather than perfect precision.</w:t>
      </w:r>
    </w:p>
    <w:p w14:paraId="096DE0AD" w14:textId="77777777" w:rsidR="00027601" w:rsidRDefault="00027601">
      <w:pPr>
        <w:spacing w:before="120" w:line="360" w:lineRule="auto"/>
        <w:rPr>
          <w:rFonts w:ascii="Times New Roman" w:eastAsia="Times New Roman" w:hAnsi="Times New Roman" w:cs="Times New Roman"/>
          <w:sz w:val="24"/>
          <w:szCs w:val="24"/>
        </w:rPr>
      </w:pPr>
    </w:p>
    <w:p w14:paraId="57510ABD" w14:textId="77777777" w:rsidR="00027601" w:rsidRPr="0081315B" w:rsidRDefault="00000000">
      <w:pPr>
        <w:spacing w:before="120" w:line="360" w:lineRule="auto"/>
        <w:rPr>
          <w:rFonts w:ascii="Times New Roman" w:eastAsia="Times New Roman" w:hAnsi="Times New Roman" w:cs="Times New Roman"/>
          <w:sz w:val="24"/>
          <w:szCs w:val="24"/>
        </w:rPr>
      </w:pPr>
      <w:sdt>
        <w:sdtPr>
          <w:rPr>
            <w:rFonts w:ascii="Times New Roman" w:hAnsi="Times New Roman" w:cs="Times New Roman"/>
          </w:rPr>
          <w:tag w:val="goog_rdk_10"/>
          <w:id w:val="1300244304"/>
        </w:sdtPr>
        <w:sdtContent>
          <w:r w:rsidRPr="0081315B">
            <w:rPr>
              <w:rFonts w:ascii="Times New Roman" w:eastAsia="Gungsuh" w:hAnsi="Times New Roman" w:cs="Times New Roman"/>
              <w:sz w:val="24"/>
              <w:szCs w:val="24"/>
            </w:rPr>
            <w:t>Bias between methods was small and non-significant (−0.008 mg L⁻</w:t>
          </w:r>
        </w:sdtContent>
      </w:sdt>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w:t>
      </w:r>
      <w:r w:rsidRPr="0081315B">
        <w:rPr>
          <w:rFonts w:ascii="Times New Roman" w:eastAsia="Times New Roman" w:hAnsi="Times New Roman" w:cs="Times New Roman"/>
          <w:i/>
          <w:iCs/>
          <w:sz w:val="24"/>
          <w:szCs w:val="24"/>
        </w:rPr>
        <w:t xml:space="preserve"> t </w:t>
      </w:r>
      <w:r w:rsidRPr="0081315B">
        <w:rPr>
          <w:rFonts w:ascii="Times New Roman" w:eastAsia="Times New Roman" w:hAnsi="Times New Roman" w:cs="Times New Roman"/>
          <w:sz w:val="24"/>
          <w:szCs w:val="24"/>
        </w:rPr>
        <w:t xml:space="preserve">= 2.18, </w:t>
      </w:r>
      <w:r w:rsidRPr="0081315B">
        <w:rPr>
          <w:rFonts w:ascii="Times New Roman" w:eastAsia="Times New Roman" w:hAnsi="Times New Roman" w:cs="Times New Roman"/>
          <w:i/>
          <w:iCs/>
          <w:sz w:val="24"/>
          <w:szCs w:val="24"/>
        </w:rPr>
        <w:t>p</w:t>
      </w:r>
      <w:r w:rsidRPr="0081315B">
        <w:rPr>
          <w:rFonts w:ascii="Times New Roman" w:eastAsia="Times New Roman" w:hAnsi="Times New Roman" w:cs="Times New Roman"/>
          <w:sz w:val="24"/>
          <w:szCs w:val="24"/>
        </w:rPr>
        <w:t xml:space="preserve"> &gt; 0.05). Combined uncertainty for REFL was 0.0138 mg L⁻</w:t>
      </w:r>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 xml:space="preserve"> (relative 13.6%) and expanded uncertainty 0.0276 mg L⁻</w:t>
      </w:r>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 xml:space="preserve"> (relative 27.3%). The limit of detection for REFL was 0.033 mg L⁻</w:t>
      </w:r>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 xml:space="preserve"> (kit threshold) or 0.060 mg L⁻</w:t>
      </w:r>
      <w:r w:rsidRPr="0081315B">
        <w:rPr>
          <w:rFonts w:ascii="Times New Roman" w:eastAsia="Times New Roman" w:hAnsi="Times New Roman" w:cs="Times New Roman"/>
          <w:sz w:val="24"/>
          <w:szCs w:val="24"/>
          <w:vertAlign w:val="superscript"/>
        </w:rPr>
        <w:t>1</w:t>
      </w:r>
      <w:r w:rsidRPr="0081315B">
        <w:rPr>
          <w:rFonts w:ascii="Times New Roman" w:eastAsia="Times New Roman" w:hAnsi="Times New Roman" w:cs="Times New Roman"/>
          <w:sz w:val="24"/>
          <w:szCs w:val="24"/>
        </w:rPr>
        <w:t xml:space="preserve"> (regression approach).</w:t>
      </w:r>
    </w:p>
    <w:p w14:paraId="5B15CFD9" w14:textId="77777777" w:rsidR="00027601" w:rsidRDefault="00000000">
      <w:pPr>
        <w:spacing w:before="12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The linear working range of the </w:t>
      </w:r>
      <w:proofErr w:type="spellStart"/>
      <w:r w:rsidRPr="0081315B">
        <w:rPr>
          <w:rFonts w:ascii="Times New Roman" w:eastAsia="Times New Roman" w:hAnsi="Times New Roman" w:cs="Times New Roman"/>
          <w:sz w:val="24"/>
          <w:szCs w:val="24"/>
        </w:rPr>
        <w:t>Reflectoquant</w:t>
      </w:r>
      <w:proofErr w:type="spellEnd"/>
      <w:r w:rsidRPr="0081315B">
        <w:rPr>
          <w:rFonts w:ascii="Times New Roman" w:eastAsia="Times New Roman" w:hAnsi="Times New Roman" w:cs="Times New Roman"/>
          <w:sz w:val="24"/>
          <w:szCs w:val="24"/>
        </w:rPr>
        <w:t xml:space="preserve"> method after sample fortification was 0.033–1.63 mg PO</w:t>
      </w:r>
      <w:r w:rsidRPr="0081315B">
        <w:rPr>
          <w:rFonts w:ascii="Times New Roman" w:eastAsia="Times New Roman" w:hAnsi="Times New Roman" w:cs="Times New Roman"/>
          <w:sz w:val="24"/>
          <w:szCs w:val="24"/>
          <w:vertAlign w:val="subscript"/>
        </w:rPr>
        <w:t>4</w:t>
      </w:r>
      <w:r w:rsidRPr="0081315B">
        <w:rPr>
          <w:rFonts w:ascii="Times New Roman" w:eastAsia="Times New Roman" w:hAnsi="Times New Roman" w:cs="Times New Roman"/>
          <w:sz w:val="24"/>
          <w:szCs w:val="24"/>
        </w:rPr>
        <w:t>-P L</w:t>
      </w:r>
      <w:r w:rsidRPr="0081315B">
        <w:rPr>
          <w:rFonts w:ascii="Times New Roman" w:eastAsia="Times New Roman" w:hAnsi="Times New Roman" w:cs="Times New Roman"/>
          <w:sz w:val="24"/>
          <w:szCs w:val="24"/>
          <w:vertAlign w:val="superscript"/>
        </w:rPr>
        <w:t>-1</w:t>
      </w:r>
      <w:sdt>
        <w:sdtPr>
          <w:rPr>
            <w:rFonts w:ascii="Times New Roman" w:hAnsi="Times New Roman" w:cs="Times New Roman"/>
          </w:rPr>
          <w:tag w:val="goog_rdk_11"/>
          <w:id w:val="1273421572"/>
        </w:sdtPr>
        <w:sdtContent>
          <w:r w:rsidRPr="0081315B">
            <w:rPr>
              <w:rFonts w:ascii="Times New Roman" w:eastAsia="Gungsuh" w:hAnsi="Times New Roman" w:cs="Times New Roman"/>
              <w:sz w:val="24"/>
              <w:szCs w:val="24"/>
            </w:rPr>
            <w:t>. Within this range, the relationship between REFL and the reference spectrophotometric method (SPEC) for standard solutions was described by the linear equation REFL = −0.001 + 0.939 SPEC, with an adjusted coefficient of determination of 0.972 (Table 1). The limit of detection (LOD) estimated from the residual standard deviation of the regression was 0.06 mg L⁻¹ (slope = 0.941; residual standard deviation = 0.018 mg L⁻¹; Table 4). The corresponding limit of quantification (LOQ) was calculated as 10 x (residual standard deviation/slope), yielding 0.187 mg L⁻¹. Reproducibility across different days or operators was not evaluated in this study.</w:t>
          </w:r>
        </w:sdtContent>
      </w:sdt>
    </w:p>
    <w:p w14:paraId="6ED393D7" w14:textId="77777777" w:rsidR="00027601" w:rsidRDefault="00027601">
      <w:pPr>
        <w:spacing w:line="360" w:lineRule="auto"/>
        <w:rPr>
          <w:rFonts w:ascii="Times New Roman" w:eastAsia="Times New Roman" w:hAnsi="Times New Roman" w:cs="Times New Roman"/>
          <w:sz w:val="24"/>
          <w:szCs w:val="24"/>
        </w:rPr>
      </w:pPr>
    </w:p>
    <w:p w14:paraId="45DBA168" w14:textId="77777777" w:rsidR="00027601" w:rsidRDefault="00027601">
      <w:pPr>
        <w:spacing w:before="240" w:after="240" w:line="360" w:lineRule="auto"/>
        <w:rPr>
          <w:rFonts w:ascii="Times New Roman" w:eastAsia="Times New Roman" w:hAnsi="Times New Roman" w:cs="Times New Roman"/>
          <w:sz w:val="24"/>
          <w:szCs w:val="24"/>
        </w:rPr>
      </w:pPr>
    </w:p>
    <w:p w14:paraId="15CBE7D4" w14:textId="77777777" w:rsidR="00027601" w:rsidRDefault="00000000">
      <w:pPr>
        <w:spacing w:line="360" w:lineRule="auto"/>
        <w:jc w:val="center"/>
        <w:rPr>
          <w:rFonts w:ascii="Times New Roman" w:eastAsia="Times New Roman" w:hAnsi="Times New Roman" w:cs="Times New Roman"/>
          <w:b/>
          <w:bCs/>
          <w:sz w:val="24"/>
          <w:szCs w:val="24"/>
        </w:rPr>
      </w:pPr>
      <w:r>
        <w:br w:type="page"/>
      </w:r>
    </w:p>
    <w:p w14:paraId="4A8969B6" w14:textId="77777777" w:rsidR="00027601"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Table 4. Coefficient of variation (CV</w:t>
      </w:r>
      <w:r>
        <w:rPr>
          <w:rFonts w:ascii="Times New Roman" w:eastAsia="Times New Roman" w:hAnsi="Times New Roman" w:cs="Times New Roman"/>
          <w:b/>
          <w:bCs/>
          <w:sz w:val="24"/>
          <w:szCs w:val="24"/>
          <w:vertAlign w:val="subscript"/>
        </w:rPr>
        <w:t>𝑟</w:t>
      </w:r>
      <w:r>
        <w:rPr>
          <w:rFonts w:ascii="Times New Roman" w:eastAsia="Times New Roman" w:hAnsi="Times New Roman" w:cs="Times New Roman"/>
          <w:b/>
          <w:bCs/>
          <w:sz w:val="24"/>
          <w:szCs w:val="24"/>
        </w:rPr>
        <w:t>​), accuracy, expanded uncertainty (𝑈), and limit of detection (LOD).</w:t>
      </w:r>
    </w:p>
    <w:tbl>
      <w:tblPr>
        <w:tblStyle w:val="a6"/>
        <w:tblW w:w="9659" w:type="dxa"/>
        <w:tblInd w:w="-100" w:type="dxa"/>
        <w:tblLayout w:type="fixed"/>
        <w:tblLook w:val="0600" w:firstRow="0" w:lastRow="0" w:firstColumn="0" w:lastColumn="0" w:noHBand="1" w:noVBand="1"/>
      </w:tblPr>
      <w:tblGrid>
        <w:gridCol w:w="1890"/>
        <w:gridCol w:w="1371"/>
        <w:gridCol w:w="2126"/>
        <w:gridCol w:w="4272"/>
      </w:tblGrid>
      <w:tr w:rsidR="00027601" w14:paraId="5A6949E3" w14:textId="77777777">
        <w:trPr>
          <w:trHeight w:val="770"/>
        </w:trPr>
        <w:tc>
          <w:tcPr>
            <w:tcW w:w="1890" w:type="dxa"/>
            <w:tcBorders>
              <w:top w:val="single" w:sz="8" w:space="0" w:color="000000"/>
              <w:bottom w:val="single" w:sz="4" w:space="0" w:color="000000"/>
            </w:tcBorders>
            <w:vAlign w:val="bottom"/>
          </w:tcPr>
          <w:p w14:paraId="14A93FB7"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Metric</w:t>
            </w:r>
          </w:p>
        </w:tc>
        <w:tc>
          <w:tcPr>
            <w:tcW w:w="1371" w:type="dxa"/>
            <w:tcBorders>
              <w:top w:val="single" w:sz="8" w:space="0" w:color="000000"/>
              <w:bottom w:val="single" w:sz="4" w:space="0" w:color="000000"/>
            </w:tcBorders>
            <w:vAlign w:val="bottom"/>
          </w:tcPr>
          <w:p w14:paraId="3BFE05BB"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w:t>
            </w:r>
          </w:p>
        </w:tc>
        <w:tc>
          <w:tcPr>
            <w:tcW w:w="2126" w:type="dxa"/>
            <w:tcBorders>
              <w:top w:val="single" w:sz="8" w:space="0" w:color="000000"/>
              <w:bottom w:val="single" w:sz="4" w:space="0" w:color="000000"/>
            </w:tcBorders>
            <w:vAlign w:val="bottom"/>
          </w:tcPr>
          <w:p w14:paraId="1B2E9DE5"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w:t>
            </w:r>
          </w:p>
        </w:tc>
        <w:tc>
          <w:tcPr>
            <w:tcW w:w="4272" w:type="dxa"/>
            <w:tcBorders>
              <w:top w:val="single" w:sz="8" w:space="0" w:color="000000"/>
              <w:bottom w:val="single" w:sz="4" w:space="0" w:color="000000"/>
            </w:tcBorders>
            <w:vAlign w:val="bottom"/>
          </w:tcPr>
          <w:p w14:paraId="666C0E31"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Interpretation</w:t>
            </w:r>
          </w:p>
        </w:tc>
      </w:tr>
      <w:tr w:rsidR="00027601" w14:paraId="32E38F1A" w14:textId="77777777">
        <w:trPr>
          <w:trHeight w:val="902"/>
        </w:trPr>
        <w:tc>
          <w:tcPr>
            <w:tcW w:w="1890" w:type="dxa"/>
            <w:tcBorders>
              <w:top w:val="single" w:sz="4" w:space="0" w:color="000000"/>
            </w:tcBorders>
          </w:tcPr>
          <w:p w14:paraId="14446C60"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CV</w:t>
            </w:r>
            <w:r>
              <w:rPr>
                <w:rFonts w:ascii="Times New Roman" w:eastAsia="Times New Roman" w:hAnsi="Times New Roman" w:cs="Times New Roman"/>
                <w:sz w:val="24"/>
                <w:szCs w:val="24"/>
                <w:vertAlign w:val="subscript"/>
              </w:rPr>
              <w:t>𝑟</w:t>
            </w:r>
            <w:r>
              <w:rPr>
                <w:rFonts w:ascii="Times New Roman" w:eastAsia="Times New Roman" w:hAnsi="Times New Roman" w:cs="Times New Roman"/>
                <w:sz w:val="24"/>
                <w:szCs w:val="24"/>
              </w:rPr>
              <w:t>​</w:t>
            </w:r>
          </w:p>
        </w:tc>
        <w:tc>
          <w:tcPr>
            <w:tcW w:w="1371" w:type="dxa"/>
            <w:tcBorders>
              <w:top w:val="single" w:sz="4" w:space="0" w:color="000000"/>
            </w:tcBorders>
          </w:tcPr>
          <w:p w14:paraId="1FFE495D"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0.91%</w:t>
            </w:r>
          </w:p>
        </w:tc>
        <w:tc>
          <w:tcPr>
            <w:tcW w:w="2126" w:type="dxa"/>
            <w:tcBorders>
              <w:top w:val="single" w:sz="4" w:space="0" w:color="000000"/>
            </w:tcBorders>
          </w:tcPr>
          <w:p w14:paraId="795127E2"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4272" w:type="dxa"/>
            <w:tcBorders>
              <w:top w:val="single" w:sz="4" w:space="0" w:color="000000"/>
            </w:tcBorders>
          </w:tcPr>
          <w:p w14:paraId="397404A9"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Acceptable for SPEC (&lt;5%); REFL shows no variability in triplicates.</w:t>
            </w:r>
          </w:p>
        </w:tc>
      </w:tr>
      <w:tr w:rsidR="00027601" w14:paraId="069D0A32" w14:textId="77777777">
        <w:trPr>
          <w:trHeight w:val="925"/>
        </w:trPr>
        <w:tc>
          <w:tcPr>
            <w:tcW w:w="1890" w:type="dxa"/>
          </w:tcPr>
          <w:p w14:paraId="5EF5ABC4"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Bias (mg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w:t>
            </w:r>
          </w:p>
        </w:tc>
        <w:tc>
          <w:tcPr>
            <w:tcW w:w="1371" w:type="dxa"/>
          </w:tcPr>
          <w:p w14:paraId="11CB5772"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126" w:type="dxa"/>
          </w:tcPr>
          <w:p w14:paraId="40E670B4"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-0.008</w:t>
            </w:r>
          </w:p>
        </w:tc>
        <w:tc>
          <w:tcPr>
            <w:tcW w:w="4272" w:type="dxa"/>
          </w:tcPr>
          <w:p w14:paraId="637E7D62"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Non-significant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 xml:space="preserve"> = 2.18 &lt; </w:t>
            </w:r>
            <w:proofErr w:type="spellStart"/>
            <w:r>
              <w:rPr>
                <w:rFonts w:ascii="Times New Roman" w:eastAsia="Times New Roman" w:hAnsi="Times New Roman" w:cs="Times New Roman"/>
                <w:i/>
                <w:iCs/>
                <w:sz w:val="24"/>
                <w:szCs w:val="24"/>
              </w:rPr>
              <w:t>t</w:t>
            </w:r>
            <w:r>
              <w:rPr>
                <w:rFonts w:ascii="Times New Roman" w:eastAsia="Times New Roman" w:hAnsi="Times New Roman" w:cs="Times New Roman"/>
                <w:i/>
                <w:iCs/>
                <w:sz w:val="24"/>
                <w:szCs w:val="24"/>
                <w:vertAlign w:val="subscript"/>
              </w:rPr>
              <w:t>cri</w:t>
            </w:r>
            <w:r>
              <w:rPr>
                <w:rFonts w:ascii="Times New Roman" w:eastAsia="Times New Roman" w:hAnsi="Times New Roman" w:cs="Times New Roman"/>
                <w:sz w:val="24"/>
                <w:szCs w:val="24"/>
                <w:vertAlign w:val="subscript"/>
              </w:rPr>
              <w:t>t</w:t>
            </w:r>
            <w:proofErr w:type="spellEnd"/>
            <w:r>
              <w:rPr>
                <w:rFonts w:ascii="Times New Roman" w:eastAsia="Times New Roman" w:hAnsi="Times New Roman" w:cs="Times New Roman"/>
                <w:sz w:val="24"/>
                <w:szCs w:val="24"/>
              </w:rPr>
              <w:t xml:space="preserve"> = 2.262, </w:t>
            </w:r>
            <w:proofErr w:type="spellStart"/>
            <w:r>
              <w:rPr>
                <w:rFonts w:ascii="Times New Roman" w:eastAsia="Times New Roman" w:hAnsi="Times New Roman" w:cs="Times New Roman"/>
                <w:i/>
                <w:iCs/>
                <w:sz w:val="24"/>
                <w:szCs w:val="24"/>
              </w:rPr>
              <w:t>df</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9), good agreement in 0.04–0.25 mg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range.</w:t>
            </w:r>
          </w:p>
        </w:tc>
      </w:tr>
      <w:tr w:rsidR="00027601" w14:paraId="5F223CF5" w14:textId="77777777">
        <w:trPr>
          <w:trHeight w:val="1256"/>
        </w:trPr>
        <w:tc>
          <w:tcPr>
            <w:tcW w:w="1890" w:type="dxa"/>
          </w:tcPr>
          <w:p w14:paraId="519CE1BA"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𝑈 (mg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w:t>
            </w:r>
          </w:p>
        </w:tc>
        <w:tc>
          <w:tcPr>
            <w:tcW w:w="1371" w:type="dxa"/>
          </w:tcPr>
          <w:p w14:paraId="0A8C73F1"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126" w:type="dxa"/>
          </w:tcPr>
          <w:p w14:paraId="49489015"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0.0276</w:t>
            </w:r>
          </w:p>
        </w:tc>
        <w:tc>
          <w:tcPr>
            <w:tcW w:w="4272" w:type="dxa"/>
          </w:tcPr>
          <w:p w14:paraId="7FCC63EB"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95 % coverage, higher than desirable, limiting precision at low concentrations.</w:t>
            </w:r>
          </w:p>
        </w:tc>
      </w:tr>
      <w:tr w:rsidR="00027601" w14:paraId="58720C80" w14:textId="77777777">
        <w:trPr>
          <w:trHeight w:val="1202"/>
        </w:trPr>
        <w:tc>
          <w:tcPr>
            <w:tcW w:w="1890" w:type="dxa"/>
            <w:tcBorders>
              <w:bottom w:val="single" w:sz="8" w:space="0" w:color="000000"/>
            </w:tcBorders>
          </w:tcPr>
          <w:p w14:paraId="3F897652"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LOD (mg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w:t>
            </w:r>
          </w:p>
        </w:tc>
        <w:tc>
          <w:tcPr>
            <w:tcW w:w="1371" w:type="dxa"/>
            <w:tcBorders>
              <w:bottom w:val="single" w:sz="8" w:space="0" w:color="000000"/>
            </w:tcBorders>
          </w:tcPr>
          <w:p w14:paraId="178CF02C"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~0.003 (estimated)</w:t>
            </w:r>
          </w:p>
        </w:tc>
        <w:tc>
          <w:tcPr>
            <w:tcW w:w="2126" w:type="dxa"/>
            <w:tcBorders>
              <w:bottom w:val="single" w:sz="8" w:space="0" w:color="000000"/>
            </w:tcBorders>
          </w:tcPr>
          <w:p w14:paraId="14E68D4C" w14:textId="77777777" w:rsidR="0002760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0.033 (threshold) / 0.06 (regression)</w:t>
            </w:r>
          </w:p>
        </w:tc>
        <w:tc>
          <w:tcPr>
            <w:tcW w:w="4272" w:type="dxa"/>
            <w:tcBorders>
              <w:bottom w:val="single" w:sz="8" w:space="0" w:color="000000"/>
            </w:tcBorders>
          </w:tcPr>
          <w:p w14:paraId="6BC750C2" w14:textId="77777777" w:rsidR="00027601"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 has limited sensitivity below 0.033 mg L⁻¹ (“LOW” indication).</w:t>
            </w:r>
          </w:p>
        </w:tc>
      </w:tr>
    </w:tbl>
    <w:p w14:paraId="2A56653D" w14:textId="77777777" w:rsidR="00027601" w:rsidRDefault="00027601">
      <w:pPr>
        <w:spacing w:line="360" w:lineRule="auto"/>
        <w:rPr>
          <w:rFonts w:ascii="Times New Roman" w:eastAsia="Times New Roman" w:hAnsi="Times New Roman" w:cs="Times New Roman"/>
          <w:b/>
          <w:bCs/>
          <w:sz w:val="24"/>
          <w:szCs w:val="24"/>
        </w:rPr>
      </w:pPr>
    </w:p>
    <w:p w14:paraId="4F76ADBA" w14:textId="77777777" w:rsidR="00027601" w:rsidRDefault="00027601">
      <w:pPr>
        <w:spacing w:line="360" w:lineRule="auto"/>
        <w:rPr>
          <w:rFonts w:ascii="Times New Roman" w:eastAsia="Times New Roman" w:hAnsi="Times New Roman" w:cs="Times New Roman"/>
          <w:sz w:val="24"/>
          <w:szCs w:val="24"/>
        </w:rPr>
      </w:pPr>
    </w:p>
    <w:p w14:paraId="16F386E0"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DISCUSSION</w:t>
      </w:r>
    </w:p>
    <w:p w14:paraId="1789EBBC" w14:textId="77777777" w:rsidR="00027601" w:rsidRPr="0081315B" w:rsidRDefault="00000000">
      <w:pPr>
        <w:spacing w:before="120" w:line="360" w:lineRule="auto"/>
        <w:rPr>
          <w:rFonts w:ascii="Times New Roman" w:eastAsia="Times New Roman" w:hAnsi="Times New Roman" w:cs="Times New Roman"/>
          <w:sz w:val="24"/>
          <w:szCs w:val="24"/>
        </w:rPr>
      </w:pPr>
      <w:proofErr w:type="spellStart"/>
      <w:r w:rsidRPr="0081315B">
        <w:rPr>
          <w:rFonts w:ascii="Times New Roman" w:eastAsia="Times New Roman" w:hAnsi="Times New Roman" w:cs="Times New Roman"/>
          <w:sz w:val="24"/>
          <w:szCs w:val="24"/>
        </w:rPr>
        <w:t>Reflectoquant</w:t>
      </w:r>
      <w:proofErr w:type="spellEnd"/>
      <w:r w:rsidRPr="0081315B">
        <w:rPr>
          <w:rFonts w:ascii="Times New Roman" w:eastAsia="Times New Roman" w:hAnsi="Times New Roman" w:cs="Times New Roman"/>
          <w:sz w:val="24"/>
          <w:szCs w:val="24"/>
        </w:rPr>
        <w:t>™ (REFL) is a reliable, field-deployable screening tool for soluble reactive phosphorus (SRP) in surface waters, demonstrating strong agreement with the reference UV-Vis spectrophotometry (SPEC) method, especially at moderate to high concentrations. Robust Spearman correlations (</w:t>
      </w:r>
      <w:r w:rsidRPr="0081315B">
        <w:rPr>
          <w:rFonts w:ascii="Times New Roman" w:eastAsia="Times New Roman" w:hAnsi="Times New Roman" w:cs="Times New Roman"/>
          <w:i/>
          <w:iCs/>
          <w:sz w:val="24"/>
          <w:szCs w:val="24"/>
        </w:rPr>
        <w:t>ρ</w:t>
      </w:r>
      <w:sdt>
        <w:sdtPr>
          <w:rPr>
            <w:rFonts w:ascii="Times New Roman" w:hAnsi="Times New Roman" w:cs="Times New Roman"/>
          </w:rPr>
          <w:tag w:val="goog_rdk_12"/>
          <w:id w:val="-984462150"/>
        </w:sdtPr>
        <w:sdtContent>
          <w:r w:rsidRPr="0081315B">
            <w:rPr>
              <w:rFonts w:ascii="Times New Roman" w:eastAsia="Gungsuh" w:hAnsi="Times New Roman" w:cs="Times New Roman"/>
              <w:sz w:val="24"/>
              <w:szCs w:val="24"/>
            </w:rPr>
            <w:t xml:space="preserve"> ≥ 0.890) and the strong performance of simple linear regression (adjusted R² ≥ 0.97, RMSE ≤ 0.018 mg L⁻¹) refute the first null hypothesis and confirm a mathematically sound relationship between the two techniques (</w:t>
          </w:r>
          <w:proofErr w:type="spellStart"/>
          <w:r w:rsidRPr="0081315B">
            <w:rPr>
              <w:rFonts w:ascii="Times New Roman" w:eastAsia="Gungsuh" w:hAnsi="Times New Roman" w:cs="Times New Roman"/>
              <w:sz w:val="24"/>
              <w:szCs w:val="24"/>
            </w:rPr>
            <w:t>Cornbleet</w:t>
          </w:r>
          <w:proofErr w:type="spellEnd"/>
          <w:r w:rsidRPr="0081315B">
            <w:rPr>
              <w:rFonts w:ascii="Times New Roman" w:eastAsia="Gungsuh" w:hAnsi="Times New Roman" w:cs="Times New Roman"/>
              <w:sz w:val="24"/>
              <w:szCs w:val="24"/>
            </w:rPr>
            <w:t xml:space="preserve"> and Gochman, 1979; Linnet, 1999). The quadratic polynomial model provided only marginal improvement in standards, while logarithmic </w:t>
          </w:r>
          <w:r w:rsidRPr="0081315B">
            <w:rPr>
              <w:rFonts w:ascii="Times New Roman" w:eastAsia="Gungsuh" w:hAnsi="Times New Roman" w:cs="Times New Roman"/>
              <w:sz w:val="24"/>
              <w:szCs w:val="24"/>
            </w:rPr>
            <w:lastRenderedPageBreak/>
            <w:t>and square-</w:t>
          </w:r>
          <w:proofErr w:type="spellStart"/>
          <w:r w:rsidRPr="0081315B">
            <w:rPr>
              <w:rFonts w:ascii="Times New Roman" w:eastAsia="Gungsuh" w:hAnsi="Times New Roman" w:cs="Times New Roman"/>
              <w:sz w:val="24"/>
              <w:szCs w:val="24"/>
            </w:rPr>
            <w:t>root</w:t>
          </w:r>
          <w:proofErr w:type="spellEnd"/>
          <w:r w:rsidRPr="0081315B">
            <w:rPr>
              <w:rFonts w:ascii="Times New Roman" w:eastAsia="Gungsuh" w:hAnsi="Times New Roman" w:cs="Times New Roman"/>
              <w:sz w:val="24"/>
              <w:szCs w:val="24"/>
            </w:rPr>
            <w:t xml:space="preserve"> transformations performed worse, supporting the use of simple linear models for interpretability in environmental applications (Stöckl et al., 1998; Westgard and Hunt, 1973).</w:t>
          </w:r>
        </w:sdtContent>
      </w:sdt>
    </w:p>
    <w:p w14:paraId="21255328" w14:textId="77777777" w:rsidR="00027601" w:rsidRPr="0081315B" w:rsidRDefault="00000000">
      <w:pPr>
        <w:spacing w:before="12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Bland-Altman analysis rejects the second null hypothesis, with an overall bias (+0.009 mg L⁻¹) well within the predefined 95% limits of agreement (±0.036 mg L⁻¹). However, the bias is concentration-dependent: REFL overestimates at low SRP concentrations (&lt; 0.025 mg L⁻¹) and underestimates at high concentrations (≥ 0.1 mg L⁻¹). These patterns, consistent with previous evaluations of portable reflectometric assays (</w:t>
      </w:r>
      <w:proofErr w:type="spellStart"/>
      <w:r w:rsidRPr="0081315B">
        <w:rPr>
          <w:rFonts w:ascii="Times New Roman" w:eastAsia="Times New Roman" w:hAnsi="Times New Roman" w:cs="Times New Roman"/>
          <w:sz w:val="24"/>
          <w:szCs w:val="24"/>
        </w:rPr>
        <w:t>Hošťálková</w:t>
      </w:r>
      <w:proofErr w:type="spellEnd"/>
      <w:r w:rsidRPr="0081315B">
        <w:rPr>
          <w:rFonts w:ascii="Times New Roman" w:eastAsia="Times New Roman" w:hAnsi="Times New Roman" w:cs="Times New Roman"/>
          <w:sz w:val="24"/>
          <w:szCs w:val="24"/>
        </w:rPr>
        <w:t xml:space="preserve"> et al., 2013; Major and Barraclough, 2003), are likely attributable to the kit’s detection threshold, the fortification procedure for trace levels, and matrix effects in natural waters (Murphy and Riley, 1962; Nagul et al., 2015; Worsfold et al., 2005).</w:t>
      </w:r>
    </w:p>
    <w:p w14:paraId="2FF3E06D" w14:textId="77777777" w:rsidR="00027601" w:rsidRPr="0081315B" w:rsidRDefault="00000000">
      <w:pPr>
        <w:spacing w:before="12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In Uruguay, where SRP typically constitutes 17–100% of total phosphorus and often exceeds eutrophication thresholds (Tables 1 and 2; </w:t>
      </w:r>
      <w:proofErr w:type="spellStart"/>
      <w:r w:rsidRPr="0081315B">
        <w:rPr>
          <w:rFonts w:ascii="Times New Roman" w:eastAsia="Times New Roman" w:hAnsi="Times New Roman" w:cs="Times New Roman"/>
          <w:sz w:val="24"/>
          <w:szCs w:val="24"/>
        </w:rPr>
        <w:t>Aubriot</w:t>
      </w:r>
      <w:proofErr w:type="spellEnd"/>
      <w:r w:rsidRPr="0081315B">
        <w:rPr>
          <w:rFonts w:ascii="Times New Roman" w:eastAsia="Times New Roman" w:hAnsi="Times New Roman" w:cs="Times New Roman"/>
          <w:sz w:val="24"/>
          <w:szCs w:val="24"/>
        </w:rPr>
        <w:t xml:space="preserve"> et al., 2017; Beretta-Blanco and Carrasco-Letelier, 2021), REFL’s capacity to detect concentrations above 0.025 mg L⁻¹ makes it a practical first-line tool for rapid screening during episodic events. However, overestimation at trace levels may result in false-positive eutrophication diagnoses; thus, values near 0.040 mg L⁻¹ should be confirmed by SPEC. This method does not replace laboratory analysis for precise low-level quantification or for use in complex matrices.</w:t>
      </w:r>
    </w:p>
    <w:p w14:paraId="39F58699" w14:textId="77777777" w:rsidR="00027601" w:rsidRPr="0081315B" w:rsidRDefault="00000000">
      <w:pPr>
        <w:spacing w:before="12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Limitations of this study include potential SRP degradation during frozen storage, the regional focus on Uruguayan fluvial systems, and reduced resolution of REFL at oligotrophic concentrations. Future research should assess performance in brackish or sediment-rich waters and further refine calibration for trace levels.</w:t>
      </w:r>
    </w:p>
    <w:p w14:paraId="1B395C9F" w14:textId="77777777" w:rsidR="00027601" w:rsidRPr="0081315B" w:rsidRDefault="00000000">
      <w:pPr>
        <w:spacing w:before="120" w:line="360" w:lineRule="auto"/>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Although REFL does not fully replace SPEC, its portability and low cost make it an effective complementary tool for prioritizing samples and supporting evidence-based water quality management.</w:t>
      </w:r>
    </w:p>
    <w:p w14:paraId="02A30CB8" w14:textId="77777777" w:rsidR="00027601" w:rsidRDefault="00027601">
      <w:pPr>
        <w:spacing w:line="360" w:lineRule="auto"/>
        <w:rPr>
          <w:rFonts w:ascii="Times New Roman" w:eastAsia="Times New Roman" w:hAnsi="Times New Roman" w:cs="Times New Roman"/>
          <w:sz w:val="24"/>
          <w:szCs w:val="24"/>
        </w:rPr>
      </w:pPr>
    </w:p>
    <w:p w14:paraId="442B90DC"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CONCLUSIONS</w:t>
      </w:r>
    </w:p>
    <w:p w14:paraId="56613398" w14:textId="77777777" w:rsidR="00027601" w:rsidRPr="0081315B" w:rsidRDefault="00000000">
      <w:pPr>
        <w:spacing w:before="120" w:line="360"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Reflectoquant</w:t>
      </w:r>
      <w:proofErr w:type="spellEnd"/>
      <w:r>
        <w:rPr>
          <w:rFonts w:ascii="Times New Roman" w:eastAsia="Times New Roman" w:hAnsi="Times New Roman" w:cs="Times New Roman"/>
          <w:sz w:val="24"/>
          <w:szCs w:val="24"/>
        </w:rPr>
        <w:t xml:space="preserve">™ (REFL) serves as a portable screening tool for soluble reactive phosphorus (SRP) in surface waters. Both null hypotheses were rejected, indicating a strong monotonic </w:t>
      </w:r>
      <w:r w:rsidRPr="0081315B">
        <w:rPr>
          <w:rFonts w:ascii="Times New Roman" w:eastAsia="Times New Roman" w:hAnsi="Times New Roman" w:cs="Times New Roman"/>
          <w:sz w:val="24"/>
          <w:szCs w:val="24"/>
        </w:rPr>
        <w:lastRenderedPageBreak/>
        <w:t xml:space="preserve">relationship with spectrophotometry (SPEC) (Spearman’s </w:t>
      </w:r>
      <w:r w:rsidRPr="0081315B">
        <w:rPr>
          <w:rFonts w:ascii="Times New Roman" w:eastAsia="Times New Roman" w:hAnsi="Times New Roman" w:cs="Times New Roman"/>
          <w:i/>
          <w:iCs/>
          <w:sz w:val="24"/>
          <w:szCs w:val="24"/>
        </w:rPr>
        <w:t>ρ</w:t>
      </w:r>
      <w:sdt>
        <w:sdtPr>
          <w:rPr>
            <w:rFonts w:ascii="Times New Roman" w:hAnsi="Times New Roman" w:cs="Times New Roman"/>
          </w:rPr>
          <w:tag w:val="goog_rdk_13"/>
          <w:id w:val="718513240"/>
        </w:sdtPr>
        <w:sdtContent>
          <w:r w:rsidRPr="0081315B">
            <w:rPr>
              <w:rFonts w:ascii="Times New Roman" w:eastAsia="Gungsuh" w:hAnsi="Times New Roman" w:cs="Times New Roman"/>
              <w:sz w:val="24"/>
              <w:szCs w:val="24"/>
            </w:rPr>
            <w:t xml:space="preserve"> ≥ 0.89, </w:t>
          </w:r>
        </w:sdtContent>
      </w:sdt>
      <w:r w:rsidRPr="0081315B">
        <w:rPr>
          <w:rFonts w:ascii="Times New Roman" w:eastAsia="Times New Roman" w:hAnsi="Times New Roman" w:cs="Times New Roman"/>
          <w:i/>
          <w:iCs/>
          <w:sz w:val="24"/>
          <w:szCs w:val="24"/>
        </w:rPr>
        <w:t>p</w:t>
      </w:r>
      <w:r w:rsidRPr="0081315B">
        <w:rPr>
          <w:rFonts w:ascii="Times New Roman" w:eastAsia="Times New Roman" w:hAnsi="Times New Roman" w:cs="Times New Roman"/>
          <w:sz w:val="24"/>
          <w:szCs w:val="24"/>
        </w:rPr>
        <w:t xml:space="preserve"> &lt; 2.2 × 10</w:t>
      </w:r>
      <w:r w:rsidRPr="0081315B">
        <w:rPr>
          <w:rFonts w:ascii="Times New Roman" w:eastAsia="Times New Roman" w:hAnsi="Times New Roman" w:cs="Times New Roman"/>
          <w:sz w:val="24"/>
          <w:szCs w:val="24"/>
          <w:vertAlign w:val="superscript"/>
        </w:rPr>
        <w:t>-16</w:t>
      </w:r>
      <w:r w:rsidRPr="0081315B">
        <w:rPr>
          <w:rFonts w:ascii="Times New Roman" w:eastAsia="Times New Roman" w:hAnsi="Times New Roman" w:cs="Times New Roman"/>
          <w:sz w:val="24"/>
          <w:szCs w:val="24"/>
        </w:rPr>
        <w:t>) and acceptable bias within the 95% limits of agreement (±0.036 mg L⁻¹) across 0.01–2.4 mg PO</w:t>
      </w:r>
      <w:r w:rsidRPr="0081315B">
        <w:rPr>
          <w:rFonts w:ascii="Times New Roman" w:eastAsia="Times New Roman" w:hAnsi="Times New Roman" w:cs="Times New Roman"/>
          <w:sz w:val="24"/>
          <w:szCs w:val="24"/>
          <w:vertAlign w:val="subscript"/>
        </w:rPr>
        <w:t>4</w:t>
      </w:r>
      <w:r w:rsidRPr="0081315B">
        <w:rPr>
          <w:rFonts w:ascii="Times New Roman" w:eastAsia="Times New Roman" w:hAnsi="Times New Roman" w:cs="Times New Roman"/>
          <w:sz w:val="24"/>
          <w:szCs w:val="24"/>
        </w:rPr>
        <w:t>-P L</w:t>
      </w:r>
      <w:r w:rsidRPr="0081315B">
        <w:rPr>
          <w:rFonts w:ascii="Times New Roman" w:eastAsia="Times New Roman" w:hAnsi="Times New Roman" w:cs="Times New Roman"/>
          <w:sz w:val="24"/>
          <w:szCs w:val="24"/>
          <w:vertAlign w:val="superscript"/>
        </w:rPr>
        <w:t>-1</w:t>
      </w:r>
      <w:sdt>
        <w:sdtPr>
          <w:rPr>
            <w:rFonts w:ascii="Times New Roman" w:hAnsi="Times New Roman" w:cs="Times New Roman"/>
          </w:rPr>
          <w:tag w:val="goog_rdk_14"/>
          <w:id w:val="-2031177267"/>
        </w:sdtPr>
        <w:sdtContent>
          <w:r w:rsidRPr="0081315B">
            <w:rPr>
              <w:rFonts w:ascii="Times New Roman" w:eastAsia="Gungsuh" w:hAnsi="Times New Roman" w:cs="Times New Roman"/>
              <w:sz w:val="24"/>
              <w:szCs w:val="24"/>
            </w:rPr>
            <w:t>. Simple linear regression provided the highest predictive performance (adjusted R² ≥ 0.97, RMSE ≤ 0.018 mg L⁻¹).</w:t>
          </w:r>
        </w:sdtContent>
      </w:sdt>
    </w:p>
    <w:p w14:paraId="6A053FBC" w14:textId="77777777" w:rsidR="00027601" w:rsidRPr="0081315B" w:rsidRDefault="00000000">
      <w:pPr>
        <w:spacing w:before="120" w:line="360" w:lineRule="auto"/>
        <w:rPr>
          <w:rFonts w:ascii="Times New Roman" w:eastAsia="Times New Roman" w:hAnsi="Times New Roman" w:cs="Times New Roman"/>
          <w:sz w:val="24"/>
          <w:szCs w:val="24"/>
        </w:rPr>
      </w:pPr>
      <w:sdt>
        <w:sdtPr>
          <w:rPr>
            <w:rFonts w:ascii="Times New Roman" w:hAnsi="Times New Roman" w:cs="Times New Roman"/>
          </w:rPr>
          <w:tag w:val="goog_rdk_15"/>
          <w:id w:val="-602344893"/>
        </w:sdtPr>
        <w:sdtContent>
          <w:r w:rsidRPr="0081315B">
            <w:rPr>
              <w:rFonts w:ascii="Times New Roman" w:eastAsia="Caudex" w:hAnsi="Times New Roman" w:cs="Times New Roman"/>
              <w:sz w:val="24"/>
              <w:szCs w:val="24"/>
            </w:rPr>
            <w:t>REFL demonstrates limitations at low concentrations (&lt; 0.025 mg L⁻¹), producing constant readings near 0.04 mg L⁻¹ and poor model fits (adjusted R² ≤ 0.49). Concentration-dependent biases, such as overestimation at low levels and underestimation at high levels, highlight the need for range-specific calibration and laboratory confirmation.</w:t>
          </w:r>
        </w:sdtContent>
      </w:sdt>
    </w:p>
    <w:p w14:paraId="666AF041" w14:textId="77777777" w:rsidR="00027601" w:rsidRPr="0081315B" w:rsidRDefault="00000000">
      <w:pPr>
        <w:spacing w:before="120" w:line="360" w:lineRule="auto"/>
        <w:jc w:val="left"/>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In summary, REFL complements rather than replaces SPEC by enabling rapid field screening and sample prioritization during eutrophication risk assessment.</w:t>
      </w:r>
    </w:p>
    <w:p w14:paraId="2F8FC91A" w14:textId="77777777" w:rsidR="00027601" w:rsidRDefault="00027601">
      <w:pPr>
        <w:spacing w:line="360" w:lineRule="auto"/>
        <w:rPr>
          <w:rFonts w:ascii="Times New Roman" w:eastAsia="Times New Roman" w:hAnsi="Times New Roman" w:cs="Times New Roman"/>
          <w:sz w:val="24"/>
          <w:szCs w:val="24"/>
        </w:rPr>
      </w:pPr>
    </w:p>
    <w:p w14:paraId="3A22BBF8" w14:textId="77777777" w:rsidR="00027601" w:rsidRDefault="00000000">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Author contributions</w:t>
      </w:r>
    </w:p>
    <w:p w14:paraId="6191E48B"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Participation in Literature Review: Leonidas Carrasco-Letelier and Gabriela Eguren. Study conception and design: Leonidas Carrasco-Letelier and Gabriela Eguren. Methodology development: Leonidas Carrasco-Letelier, Gabriela Eguren, Andrés Hirigoyen, Andrés Beretta-Blanco. Discussion of results: Leonidas Carrasco-Letelier, Andrés Hirigoyen, and Andrés Beretta-Blanco. The first draft of the manuscript was written by Leonidas Carrasco-Letelier and Gabriela Eguren. Revision and approval of final version: Leonidas Carrasco-Letelier, Andrés Hirigoyen, and Andrés Beretta-Blanco. All authors commented on previous versions of the manuscript. All authors read and approved the last version of the manuscript.</w:t>
      </w:r>
    </w:p>
    <w:p w14:paraId="34F9A554" w14:textId="77777777" w:rsidR="00027601" w:rsidRDefault="00027601">
      <w:pPr>
        <w:spacing w:line="360" w:lineRule="auto"/>
        <w:rPr>
          <w:rFonts w:ascii="Times New Roman" w:eastAsia="Times New Roman" w:hAnsi="Times New Roman" w:cs="Times New Roman"/>
          <w:sz w:val="24"/>
          <w:szCs w:val="24"/>
        </w:rPr>
      </w:pPr>
    </w:p>
    <w:p w14:paraId="68485284"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Supplementary Material</w:t>
      </w:r>
    </w:p>
    <w:p w14:paraId="39928B56"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materials are available as online supplementary information:</w:t>
      </w:r>
    </w:p>
    <w:p w14:paraId="45F845F9" w14:textId="77777777" w:rsidR="00027601" w:rsidRDefault="00000000">
      <w:pPr>
        <w:spacing w:line="36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Table S1. Phosphorus concentrations reported in Uruguayan surface waters (post-1980).</w:t>
      </w:r>
    </w:p>
    <w:p w14:paraId="60A1323A" w14:textId="77777777" w:rsidR="00027601" w:rsidRDefault="00000000">
      <w:pPr>
        <w:spacing w:line="36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Table S2. Phosphorus concentrations reported in Argentina, Brazil, and Paraguay (post-1980).</w:t>
      </w:r>
    </w:p>
    <w:p w14:paraId="2310D3EF" w14:textId="0C52C062" w:rsidR="00027601" w:rsidRDefault="00000000">
      <w:pPr>
        <w:spacing w:line="360" w:lineRule="auto"/>
      </w:pPr>
      <w:r>
        <w:rPr>
          <w:rFonts w:ascii="Times New Roman" w:eastAsia="Times New Roman" w:hAnsi="Times New Roman" w:cs="Times New Roman"/>
          <w:sz w:val="24"/>
          <w:szCs w:val="24"/>
        </w:rPr>
        <w:lastRenderedPageBreak/>
        <w:t xml:space="preserve">The entire data set supporting the results of this study, along with the R code, was published at </w:t>
      </w:r>
      <w:hyperlink r:id="rId16" w:history="1">
        <w:r w:rsidR="0081315B" w:rsidRPr="0081315B">
          <w:rPr>
            <w:rStyle w:val="Hipervnculo"/>
            <w:rFonts w:ascii="Times New Roman" w:hAnsi="Times New Roman" w:cs="Times New Roman"/>
            <w:sz w:val="24"/>
            <w:szCs w:val="24"/>
          </w:rPr>
          <w:t>https://gitlab.com/lcarrascol/reflectoquant_prs/snippets/6032465.git</w:t>
        </w:r>
      </w:hyperlink>
      <w:r w:rsidR="0081315B">
        <w:rPr>
          <w:rFonts w:ascii="Times New Roman" w:eastAsia="Times New Roman" w:hAnsi="Times New Roman" w:cs="Times New Roman"/>
          <w:sz w:val="24"/>
          <w:szCs w:val="24"/>
        </w:rPr>
        <w:t>.</w:t>
      </w:r>
    </w:p>
    <w:p w14:paraId="579F2AC6" w14:textId="77777777" w:rsidR="00027601" w:rsidRDefault="00027601">
      <w:pPr>
        <w:spacing w:line="360" w:lineRule="auto"/>
        <w:rPr>
          <w:rFonts w:ascii="Times New Roman" w:eastAsia="Times New Roman" w:hAnsi="Times New Roman" w:cs="Times New Roman"/>
          <w:sz w:val="24"/>
          <w:szCs w:val="24"/>
        </w:rPr>
      </w:pPr>
    </w:p>
    <w:p w14:paraId="1038DB8E"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Generative AI Statement </w:t>
      </w:r>
    </w:p>
    <w:p w14:paraId="704B8018"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author(s) declared that generative AI was used in the creation of this manuscript. During preparation, the authors used Grok, OpenAI’s ChatGPT, and Gemini to enhance the R code for statistical analysis. For readability, the manuscript was checked and refined using Grammarly. After using these tools, the authors reviewed and edited the content as needed and took full responsibility for the published article. </w:t>
      </w:r>
    </w:p>
    <w:p w14:paraId="1B7E0AB0" w14:textId="77777777" w:rsidR="00027601" w:rsidRDefault="00027601">
      <w:pPr>
        <w:spacing w:line="360" w:lineRule="auto"/>
        <w:rPr>
          <w:rFonts w:ascii="Times New Roman" w:eastAsia="Times New Roman" w:hAnsi="Times New Roman" w:cs="Times New Roman"/>
          <w:b/>
          <w:bCs/>
          <w:sz w:val="24"/>
          <w:szCs w:val="24"/>
        </w:rPr>
      </w:pPr>
    </w:p>
    <w:p w14:paraId="4D6CC00D" w14:textId="77777777" w:rsidR="00027601"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LITERATURE CITED</w:t>
      </w:r>
    </w:p>
    <w:p w14:paraId="66CAB2EF" w14:textId="070451CF" w:rsidR="0081315B" w:rsidRPr="0081315B" w:rsidRDefault="00000000">
      <w:pPr>
        <w:spacing w:line="360" w:lineRule="auto"/>
        <w:ind w:left="1133" w:hanging="1133"/>
        <w:rPr>
          <w:rFonts w:ascii="Times New Roman" w:eastAsia="Times New Roman" w:hAnsi="Times New Roman" w:cs="Times New Roman"/>
          <w:sz w:val="24"/>
          <w:szCs w:val="24"/>
        </w:rPr>
      </w:pPr>
      <w:proofErr w:type="spellStart"/>
      <w:r w:rsidRPr="0081315B">
        <w:rPr>
          <w:rFonts w:ascii="Times New Roman" w:eastAsia="Times New Roman" w:hAnsi="Times New Roman" w:cs="Times New Roman"/>
          <w:sz w:val="24"/>
          <w:szCs w:val="24"/>
        </w:rPr>
        <w:t>Aboal</w:t>
      </w:r>
      <w:proofErr w:type="spellEnd"/>
      <w:r w:rsidRPr="0081315B">
        <w:rPr>
          <w:rFonts w:ascii="Times New Roman" w:eastAsia="Times New Roman" w:hAnsi="Times New Roman" w:cs="Times New Roman"/>
          <w:sz w:val="24"/>
          <w:szCs w:val="24"/>
        </w:rPr>
        <w:t xml:space="preserve">-Somoza, M., and R.M. Crujeiras. 2024. Misuse of Linear Regression Technique in Analytical Chemistry? J. Chem. Educ. 101:1062–1070. </w:t>
      </w:r>
      <w:hyperlink r:id="rId17" w:history="1">
        <w:r w:rsidR="0081315B" w:rsidRPr="000310ED">
          <w:rPr>
            <w:rStyle w:val="Hipervnculo"/>
            <w:rFonts w:ascii="Times New Roman" w:eastAsia="Times New Roman" w:hAnsi="Times New Roman" w:cs="Times New Roman"/>
            <w:sz w:val="24"/>
            <w:szCs w:val="24"/>
          </w:rPr>
          <w:t>http://dx.doi.org/10.1021/acs.jchemed.3c01042</w:t>
        </w:r>
      </w:hyperlink>
    </w:p>
    <w:p w14:paraId="277DA19B" w14:textId="4870147F" w:rsidR="0081315B" w:rsidRPr="0081315B" w:rsidRDefault="00000000">
      <w:pPr>
        <w:spacing w:line="360" w:lineRule="auto"/>
        <w:ind w:left="1133" w:hanging="1133"/>
        <w:rPr>
          <w:rFonts w:ascii="Times New Roman" w:eastAsia="Times New Roman" w:hAnsi="Times New Roman" w:cs="Times New Roman"/>
          <w:sz w:val="24"/>
          <w:szCs w:val="24"/>
          <w:lang w:val="es-UY"/>
        </w:rPr>
      </w:pPr>
      <w:r w:rsidRPr="0081315B">
        <w:rPr>
          <w:rFonts w:ascii="Times New Roman" w:eastAsia="Times New Roman" w:hAnsi="Times New Roman" w:cs="Times New Roman"/>
          <w:sz w:val="24"/>
          <w:szCs w:val="24"/>
          <w:lang w:val="es-UY"/>
        </w:rPr>
        <w:t xml:space="preserve">Andrade, E.M. de, K.C.D. Ferreira, </w:t>
      </w:r>
      <w:proofErr w:type="spellStart"/>
      <w:r w:rsidRPr="0081315B">
        <w:rPr>
          <w:rFonts w:ascii="Times New Roman" w:eastAsia="Times New Roman" w:hAnsi="Times New Roman" w:cs="Times New Roman"/>
          <w:sz w:val="24"/>
          <w:szCs w:val="24"/>
          <w:lang w:val="es-UY"/>
        </w:rPr>
        <w:t>Lopes</w:t>
      </w:r>
      <w:proofErr w:type="spellEnd"/>
      <w:r w:rsidRPr="0081315B">
        <w:rPr>
          <w:rFonts w:ascii="Times New Roman" w:eastAsia="Times New Roman" w:hAnsi="Times New Roman" w:cs="Times New Roman"/>
          <w:sz w:val="24"/>
          <w:szCs w:val="24"/>
          <w:lang w:val="es-UY"/>
        </w:rPr>
        <w:t xml:space="preserve">, F.B., I.C. da S. Araújo, and A.G.R. da Silva. </w:t>
      </w:r>
      <w:r w:rsidRPr="0081315B">
        <w:rPr>
          <w:rFonts w:ascii="Times New Roman" w:eastAsia="Times New Roman" w:hAnsi="Times New Roman" w:cs="Times New Roman"/>
          <w:sz w:val="24"/>
          <w:szCs w:val="24"/>
        </w:rPr>
        <w:t xml:space="preserve">2020. Balance of nitrogen and phosphorus in a reservoir in the tropical semi-arid region. </w:t>
      </w:r>
      <w:r w:rsidRPr="009335B6">
        <w:rPr>
          <w:rFonts w:ascii="Times New Roman" w:eastAsia="Times New Roman" w:hAnsi="Times New Roman" w:cs="Times New Roman"/>
          <w:sz w:val="24"/>
          <w:szCs w:val="24"/>
          <w:lang w:val="en-US"/>
        </w:rPr>
        <w:t xml:space="preserve">Rev. </w:t>
      </w:r>
      <w:proofErr w:type="spellStart"/>
      <w:r w:rsidRPr="009335B6">
        <w:rPr>
          <w:rFonts w:ascii="Times New Roman" w:eastAsia="Times New Roman" w:hAnsi="Times New Roman" w:cs="Times New Roman"/>
          <w:sz w:val="24"/>
          <w:szCs w:val="24"/>
          <w:lang w:val="en-US"/>
        </w:rPr>
        <w:t>Ciênc</w:t>
      </w:r>
      <w:proofErr w:type="spellEnd"/>
      <w:r w:rsidRPr="009335B6">
        <w:rPr>
          <w:rFonts w:ascii="Times New Roman" w:eastAsia="Times New Roman" w:hAnsi="Times New Roman" w:cs="Times New Roman"/>
          <w:sz w:val="24"/>
          <w:szCs w:val="24"/>
          <w:lang w:val="en-US"/>
        </w:rPr>
        <w:t xml:space="preserve">. </w:t>
      </w:r>
      <w:proofErr w:type="spellStart"/>
      <w:r w:rsidRPr="009335B6">
        <w:rPr>
          <w:rFonts w:ascii="Times New Roman" w:eastAsia="Times New Roman" w:hAnsi="Times New Roman" w:cs="Times New Roman"/>
          <w:sz w:val="24"/>
          <w:szCs w:val="24"/>
          <w:lang w:val="en-US"/>
        </w:rPr>
        <w:t>Agronômica</w:t>
      </w:r>
      <w:proofErr w:type="spellEnd"/>
      <w:r w:rsidRPr="009335B6">
        <w:rPr>
          <w:rFonts w:ascii="Times New Roman" w:eastAsia="Times New Roman" w:hAnsi="Times New Roman" w:cs="Times New Roman"/>
          <w:sz w:val="24"/>
          <w:szCs w:val="24"/>
          <w:lang w:val="en-US"/>
        </w:rPr>
        <w:t xml:space="preserve"> </w:t>
      </w:r>
      <w:proofErr w:type="gramStart"/>
      <w:r w:rsidRPr="009335B6">
        <w:rPr>
          <w:rFonts w:ascii="Times New Roman" w:eastAsia="Times New Roman" w:hAnsi="Times New Roman" w:cs="Times New Roman"/>
          <w:sz w:val="24"/>
          <w:szCs w:val="24"/>
          <w:lang w:val="en-US"/>
        </w:rPr>
        <w:t>51:e</w:t>
      </w:r>
      <w:proofErr w:type="gramEnd"/>
      <w:r w:rsidRPr="009335B6">
        <w:rPr>
          <w:rFonts w:ascii="Times New Roman" w:eastAsia="Times New Roman" w:hAnsi="Times New Roman" w:cs="Times New Roman"/>
          <w:sz w:val="24"/>
          <w:szCs w:val="24"/>
          <w:lang w:val="en-US"/>
        </w:rPr>
        <w:t xml:space="preserve">20196800. </w:t>
      </w:r>
      <w:hyperlink r:id="rId18" w:history="1">
        <w:r w:rsidR="0081315B" w:rsidRPr="000310ED">
          <w:rPr>
            <w:rStyle w:val="Hipervnculo"/>
            <w:rFonts w:ascii="Times New Roman" w:eastAsia="Times New Roman" w:hAnsi="Times New Roman" w:cs="Times New Roman"/>
            <w:sz w:val="24"/>
            <w:szCs w:val="24"/>
            <w:lang w:val="es-UY"/>
          </w:rPr>
          <w:t>http://dx.doi.org/10.5935/1806-6690.20200020</w:t>
        </w:r>
      </w:hyperlink>
    </w:p>
    <w:p w14:paraId="6C86F406" w14:textId="060B9B7D" w:rsidR="0081315B" w:rsidRPr="009335B6" w:rsidRDefault="00000000">
      <w:pPr>
        <w:spacing w:line="360" w:lineRule="auto"/>
        <w:ind w:left="1133" w:hanging="1133"/>
        <w:rPr>
          <w:rFonts w:ascii="Times New Roman" w:eastAsia="Times New Roman" w:hAnsi="Times New Roman" w:cs="Times New Roman"/>
          <w:sz w:val="24"/>
          <w:szCs w:val="24"/>
          <w:lang w:val="es-UY"/>
        </w:rPr>
      </w:pPr>
      <w:r w:rsidRPr="0081315B">
        <w:rPr>
          <w:rFonts w:ascii="Times New Roman" w:eastAsia="Times New Roman" w:hAnsi="Times New Roman" w:cs="Times New Roman"/>
          <w:sz w:val="24"/>
          <w:szCs w:val="24"/>
          <w:lang w:val="es-UY"/>
        </w:rPr>
        <w:t>Arocena, R., G. Chalar, D. Fabián, J.P. Pacheco, V. Olivero, M. González, M. Silva, P. García y C. Perdomo. 2016. Impacto de la lechería en los ecosistemas acuáticos continentales, Proyecto FPTA-</w:t>
      </w:r>
      <w:proofErr w:type="gramStart"/>
      <w:r w:rsidRPr="0081315B">
        <w:rPr>
          <w:rFonts w:ascii="Times New Roman" w:eastAsia="Times New Roman" w:hAnsi="Times New Roman" w:cs="Times New Roman"/>
          <w:sz w:val="24"/>
          <w:szCs w:val="24"/>
          <w:lang w:val="es-UY"/>
        </w:rPr>
        <w:t>179  Medidas</w:t>
      </w:r>
      <w:proofErr w:type="gramEnd"/>
      <w:r w:rsidRPr="0081315B">
        <w:rPr>
          <w:rFonts w:ascii="Times New Roman" w:eastAsia="Times New Roman" w:hAnsi="Times New Roman" w:cs="Times New Roman"/>
          <w:sz w:val="24"/>
          <w:szCs w:val="24"/>
          <w:lang w:val="es-UY"/>
        </w:rPr>
        <w:t xml:space="preserve"> para la mitigación del impacto de la lechería en la calidad de agua de la cuenca lechera del embalse Paso Severino. </w:t>
      </w:r>
      <w:r w:rsidRPr="009335B6">
        <w:rPr>
          <w:rFonts w:ascii="Times New Roman" w:eastAsia="Times New Roman" w:hAnsi="Times New Roman" w:cs="Times New Roman"/>
          <w:sz w:val="24"/>
          <w:szCs w:val="24"/>
          <w:lang w:val="es-UY"/>
        </w:rPr>
        <w:t xml:space="preserve">Ed., Serie FPTA-INIA. INIA Uruguay, Montevideo, Uruguay. </w:t>
      </w:r>
      <w:hyperlink r:id="rId19" w:history="1">
        <w:r w:rsidR="0081315B" w:rsidRPr="009335B6">
          <w:rPr>
            <w:rStyle w:val="Hipervnculo"/>
            <w:rFonts w:ascii="Times New Roman" w:eastAsia="Times New Roman" w:hAnsi="Times New Roman" w:cs="Times New Roman"/>
            <w:sz w:val="24"/>
            <w:szCs w:val="24"/>
            <w:lang w:val="es-UY"/>
          </w:rPr>
          <w:t>https://ainfo.inia.uy/digital/bitstream/item/6057/1/fpta-60-online-2016.pdf</w:t>
        </w:r>
      </w:hyperlink>
    </w:p>
    <w:p w14:paraId="3A409FF0" w14:textId="2C90D223" w:rsidR="0081315B" w:rsidRPr="0081315B" w:rsidRDefault="00000000">
      <w:pPr>
        <w:spacing w:line="360" w:lineRule="auto"/>
        <w:ind w:left="1133" w:hanging="1133"/>
        <w:rPr>
          <w:rFonts w:ascii="Times New Roman" w:eastAsia="Times New Roman" w:hAnsi="Times New Roman" w:cs="Times New Roman"/>
          <w:sz w:val="24"/>
          <w:szCs w:val="24"/>
        </w:rPr>
      </w:pPr>
      <w:proofErr w:type="spellStart"/>
      <w:r w:rsidRPr="0081315B">
        <w:rPr>
          <w:rFonts w:ascii="Times New Roman" w:eastAsia="Times New Roman" w:hAnsi="Times New Roman" w:cs="Times New Roman"/>
          <w:sz w:val="24"/>
          <w:szCs w:val="24"/>
          <w:lang w:val="es-UY"/>
        </w:rPr>
        <w:t>Aubriot</w:t>
      </w:r>
      <w:proofErr w:type="spellEnd"/>
      <w:r w:rsidRPr="0081315B">
        <w:rPr>
          <w:rFonts w:ascii="Times New Roman" w:eastAsia="Times New Roman" w:hAnsi="Times New Roman" w:cs="Times New Roman"/>
          <w:sz w:val="24"/>
          <w:szCs w:val="24"/>
          <w:lang w:val="es-UY"/>
        </w:rPr>
        <w:t xml:space="preserve">, L.E., L. Delbene, S. Haakonsson, A. Somma, F. Hirsch y S. Bonilla. 2017. Evolución de la eutrofización en el Río Santa Lucía: influencia de la intensificación productiva y perspectivas. </w:t>
      </w:r>
      <w:r w:rsidRPr="0081315B">
        <w:rPr>
          <w:rFonts w:ascii="Times New Roman" w:eastAsia="Times New Roman" w:hAnsi="Times New Roman" w:cs="Times New Roman"/>
          <w:sz w:val="24"/>
          <w:szCs w:val="24"/>
        </w:rPr>
        <w:t xml:space="preserve">INNOTEC 07–16. </w:t>
      </w:r>
      <w:hyperlink r:id="rId20" w:history="1">
        <w:r w:rsidR="0081315B" w:rsidRPr="000310ED">
          <w:rPr>
            <w:rStyle w:val="Hipervnculo"/>
            <w:rFonts w:ascii="Times New Roman" w:eastAsia="Times New Roman" w:hAnsi="Times New Roman" w:cs="Times New Roman"/>
            <w:sz w:val="24"/>
            <w:szCs w:val="24"/>
          </w:rPr>
          <w:t>https://ojs.latu.org.uy/index.php/INNOTEC/article/view/426</w:t>
        </w:r>
      </w:hyperlink>
    </w:p>
    <w:p w14:paraId="7798C6B0" w14:textId="767DFDB9"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lastRenderedPageBreak/>
        <w:t xml:space="preserve">Barreto, P., S. Dogliotti, and C. Perdomo. 2017. Surface Water Quality of Intensive Farming Areas Within the Santa Lucía River Basin of Uruguay. Air Soil Water Res. 10:1178622117715446. </w:t>
      </w:r>
      <w:hyperlink r:id="rId21" w:history="1">
        <w:r w:rsidR="0081315B" w:rsidRPr="000310ED">
          <w:rPr>
            <w:rStyle w:val="Hipervnculo"/>
            <w:rFonts w:ascii="Times New Roman" w:eastAsia="Times New Roman" w:hAnsi="Times New Roman" w:cs="Times New Roman"/>
            <w:sz w:val="24"/>
            <w:szCs w:val="24"/>
          </w:rPr>
          <w:t>http://dx.doi.org/10.1177/1178622117715446</w:t>
        </w:r>
      </w:hyperlink>
    </w:p>
    <w:p w14:paraId="5FFFE4C7" w14:textId="52DEB412"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Beretta-Blanco, A., and L. Carrasco-Letelier. 2021. Relevant factors in the eutrophication of the Uruguay River and the Río Negro. Sci. Total Environ. 761:143299. </w:t>
      </w:r>
      <w:hyperlink r:id="rId22" w:history="1">
        <w:r w:rsidR="0081315B" w:rsidRPr="000310ED">
          <w:rPr>
            <w:rStyle w:val="Hipervnculo"/>
            <w:rFonts w:ascii="Times New Roman" w:eastAsia="Times New Roman" w:hAnsi="Times New Roman" w:cs="Times New Roman"/>
            <w:sz w:val="24"/>
            <w:szCs w:val="24"/>
          </w:rPr>
          <w:t>http://dx.doi.org/10.1016/j.scitotenv.2020.143299</w:t>
        </w:r>
      </w:hyperlink>
    </w:p>
    <w:p w14:paraId="510267F2" w14:textId="3D62E69E"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Bland, J.M., and D.G. Altman. 2010. Statistical methods for assessing agreement between two methods of clinical measurement. Int. J. Nurs. Stud. 47:931–936. </w:t>
      </w:r>
      <w:hyperlink r:id="rId23" w:history="1">
        <w:r w:rsidR="0081315B" w:rsidRPr="000310ED">
          <w:rPr>
            <w:rStyle w:val="Hipervnculo"/>
            <w:rFonts w:ascii="Times New Roman" w:eastAsia="Times New Roman" w:hAnsi="Times New Roman" w:cs="Times New Roman"/>
            <w:sz w:val="24"/>
            <w:szCs w:val="24"/>
          </w:rPr>
          <w:t>http://dx.doi.org/10.1016/j.ijnurstu.2009.10.001</w:t>
        </w:r>
      </w:hyperlink>
    </w:p>
    <w:p w14:paraId="75640998" w14:textId="1B8216FE"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Bland, J.M., and D.G. Altman. 1986. Statistical methods for assessing agreement between two methods of clinical measurement. The Lancet 327:307–310. </w:t>
      </w:r>
      <w:hyperlink r:id="rId24" w:history="1">
        <w:r w:rsidR="0081315B" w:rsidRPr="000310ED">
          <w:rPr>
            <w:rStyle w:val="Hipervnculo"/>
            <w:rFonts w:ascii="Times New Roman" w:eastAsia="Times New Roman" w:hAnsi="Times New Roman" w:cs="Times New Roman"/>
            <w:sz w:val="24"/>
            <w:szCs w:val="24"/>
          </w:rPr>
          <w:t>http://dx.doi.org/10.1016/S0140-6736(86)90837-8</w:t>
        </w:r>
      </w:hyperlink>
    </w:p>
    <w:p w14:paraId="5B99B234" w14:textId="403B57D7"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Cantwell, H. 2024. </w:t>
      </w:r>
      <w:proofErr w:type="spellStart"/>
      <w:r w:rsidRPr="0081315B">
        <w:rPr>
          <w:rFonts w:ascii="Times New Roman" w:eastAsia="Times New Roman" w:hAnsi="Times New Roman" w:cs="Times New Roman"/>
          <w:sz w:val="24"/>
          <w:szCs w:val="24"/>
        </w:rPr>
        <w:t>Eurachem</w:t>
      </w:r>
      <w:proofErr w:type="spellEnd"/>
      <w:r w:rsidRPr="0081315B">
        <w:rPr>
          <w:rFonts w:ascii="Times New Roman" w:eastAsia="Times New Roman" w:hAnsi="Times New Roman" w:cs="Times New Roman"/>
          <w:sz w:val="24"/>
          <w:szCs w:val="24"/>
        </w:rPr>
        <w:t xml:space="preserve"> Guide: The Fitness for Purpose of </w:t>
      </w:r>
      <w:proofErr w:type="gramStart"/>
      <w:r w:rsidRPr="0081315B">
        <w:rPr>
          <w:rFonts w:ascii="Times New Roman" w:eastAsia="Times New Roman" w:hAnsi="Times New Roman" w:cs="Times New Roman"/>
          <w:sz w:val="24"/>
          <w:szCs w:val="24"/>
        </w:rPr>
        <w:t>Analytical  Methods</w:t>
      </w:r>
      <w:proofErr w:type="gramEnd"/>
      <w:r w:rsidRPr="0081315B">
        <w:rPr>
          <w:rFonts w:ascii="Times New Roman" w:eastAsia="Times New Roman" w:hAnsi="Times New Roman" w:cs="Times New Roman"/>
          <w:sz w:val="24"/>
          <w:szCs w:val="24"/>
        </w:rPr>
        <w:t xml:space="preserve"> – A Laboratory Guide to Method Validation and Related Topics, 3rd ed. </w:t>
      </w:r>
      <w:proofErr w:type="spellStart"/>
      <w:r w:rsidRPr="0081315B">
        <w:rPr>
          <w:rFonts w:ascii="Times New Roman" w:eastAsia="Times New Roman" w:hAnsi="Times New Roman" w:cs="Times New Roman"/>
          <w:sz w:val="24"/>
          <w:szCs w:val="24"/>
        </w:rPr>
        <w:t>Eurachem</w:t>
      </w:r>
      <w:proofErr w:type="spellEnd"/>
      <w:r w:rsidRPr="0081315B">
        <w:rPr>
          <w:rFonts w:ascii="Times New Roman" w:eastAsia="Times New Roman" w:hAnsi="Times New Roman" w:cs="Times New Roman"/>
          <w:sz w:val="24"/>
          <w:szCs w:val="24"/>
        </w:rPr>
        <w:t xml:space="preserve">. </w:t>
      </w:r>
      <w:hyperlink r:id="rId25" w:anchor="contents" w:history="1">
        <w:r w:rsidR="0081315B" w:rsidRPr="000310ED">
          <w:rPr>
            <w:rStyle w:val="Hipervnculo"/>
            <w:rFonts w:ascii="Times New Roman" w:eastAsia="Times New Roman" w:hAnsi="Times New Roman" w:cs="Times New Roman"/>
            <w:sz w:val="24"/>
            <w:szCs w:val="24"/>
          </w:rPr>
          <w:t>https://www.eurachem.org/index.php/3-publications/guides/144-gdmv2014#contents</w:t>
        </w:r>
      </w:hyperlink>
    </w:p>
    <w:p w14:paraId="21294FD4" w14:textId="723A53E5"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Carignan, R., and P. </w:t>
      </w:r>
      <w:proofErr w:type="spellStart"/>
      <w:r w:rsidRPr="0081315B">
        <w:rPr>
          <w:rFonts w:ascii="Times New Roman" w:eastAsia="Times New Roman" w:hAnsi="Times New Roman" w:cs="Times New Roman"/>
          <w:sz w:val="24"/>
          <w:szCs w:val="24"/>
        </w:rPr>
        <w:t>Vaithiyanathan</w:t>
      </w:r>
      <w:proofErr w:type="spellEnd"/>
      <w:r w:rsidRPr="0081315B">
        <w:rPr>
          <w:rFonts w:ascii="Times New Roman" w:eastAsia="Times New Roman" w:hAnsi="Times New Roman" w:cs="Times New Roman"/>
          <w:sz w:val="24"/>
          <w:szCs w:val="24"/>
        </w:rPr>
        <w:t xml:space="preserve">. 1999. Phosphorus availability in the Paraná floodplain lakes (Argentina): Influence of pH and phosphate buffering by fluvial sediments. </w:t>
      </w:r>
      <w:proofErr w:type="spellStart"/>
      <w:r w:rsidRPr="0081315B">
        <w:rPr>
          <w:rFonts w:ascii="Times New Roman" w:eastAsia="Times New Roman" w:hAnsi="Times New Roman" w:cs="Times New Roman"/>
          <w:sz w:val="24"/>
          <w:szCs w:val="24"/>
        </w:rPr>
        <w:t>Limnol</w:t>
      </w:r>
      <w:proofErr w:type="spellEnd"/>
      <w:r w:rsidRPr="0081315B">
        <w:rPr>
          <w:rFonts w:ascii="Times New Roman" w:eastAsia="Times New Roman" w:hAnsi="Times New Roman" w:cs="Times New Roman"/>
          <w:sz w:val="24"/>
          <w:szCs w:val="24"/>
        </w:rPr>
        <w:t xml:space="preserve">. </w:t>
      </w:r>
      <w:proofErr w:type="spellStart"/>
      <w:r w:rsidRPr="0081315B">
        <w:rPr>
          <w:rFonts w:ascii="Times New Roman" w:eastAsia="Times New Roman" w:hAnsi="Times New Roman" w:cs="Times New Roman"/>
          <w:sz w:val="24"/>
          <w:szCs w:val="24"/>
        </w:rPr>
        <w:t>Oceanogr</w:t>
      </w:r>
      <w:proofErr w:type="spellEnd"/>
      <w:r w:rsidRPr="0081315B">
        <w:rPr>
          <w:rFonts w:ascii="Times New Roman" w:eastAsia="Times New Roman" w:hAnsi="Times New Roman" w:cs="Times New Roman"/>
          <w:sz w:val="24"/>
          <w:szCs w:val="24"/>
        </w:rPr>
        <w:t xml:space="preserve">. 44:1540–1548. </w:t>
      </w:r>
      <w:hyperlink r:id="rId26" w:history="1">
        <w:r w:rsidR="0081315B" w:rsidRPr="000310ED">
          <w:rPr>
            <w:rStyle w:val="Hipervnculo"/>
            <w:rFonts w:ascii="Times New Roman" w:eastAsia="Times New Roman" w:hAnsi="Times New Roman" w:cs="Times New Roman"/>
            <w:sz w:val="24"/>
            <w:szCs w:val="24"/>
          </w:rPr>
          <w:t>http://dx.doi.org/10.4319/lo.1999.44.6.1540</w:t>
        </w:r>
      </w:hyperlink>
    </w:p>
    <w:p w14:paraId="2D3D62A7" w14:textId="25E177AF" w:rsidR="0081315B" w:rsidRPr="0081315B" w:rsidRDefault="00000000">
      <w:pPr>
        <w:spacing w:line="360" w:lineRule="auto"/>
        <w:ind w:left="1133" w:hanging="1133"/>
        <w:rPr>
          <w:rFonts w:ascii="Times New Roman" w:eastAsia="Times New Roman" w:hAnsi="Times New Roman" w:cs="Times New Roman"/>
          <w:sz w:val="24"/>
          <w:szCs w:val="24"/>
          <w:lang w:val="es-UY"/>
        </w:rPr>
      </w:pPr>
      <w:r w:rsidRPr="0081315B">
        <w:rPr>
          <w:rFonts w:ascii="Times New Roman" w:eastAsia="Times New Roman" w:hAnsi="Times New Roman" w:cs="Times New Roman"/>
          <w:sz w:val="24"/>
          <w:szCs w:val="24"/>
        </w:rPr>
        <w:t xml:space="preserve">Carpenter, S.R. 2008. Phosphorus control is critical to mitigating eutrophication. </w:t>
      </w:r>
      <w:proofErr w:type="spellStart"/>
      <w:r w:rsidRPr="009335B6">
        <w:rPr>
          <w:rFonts w:ascii="Times New Roman" w:eastAsia="Times New Roman" w:hAnsi="Times New Roman" w:cs="Times New Roman"/>
          <w:sz w:val="24"/>
          <w:szCs w:val="24"/>
          <w:lang w:val="es-UY"/>
        </w:rPr>
        <w:t>Proc</w:t>
      </w:r>
      <w:proofErr w:type="spellEnd"/>
      <w:r w:rsidRPr="009335B6">
        <w:rPr>
          <w:rFonts w:ascii="Times New Roman" w:eastAsia="Times New Roman" w:hAnsi="Times New Roman" w:cs="Times New Roman"/>
          <w:sz w:val="24"/>
          <w:szCs w:val="24"/>
          <w:lang w:val="es-UY"/>
        </w:rPr>
        <w:t xml:space="preserve">. </w:t>
      </w:r>
      <w:proofErr w:type="spellStart"/>
      <w:r w:rsidRPr="009335B6">
        <w:rPr>
          <w:rFonts w:ascii="Times New Roman" w:eastAsia="Times New Roman" w:hAnsi="Times New Roman" w:cs="Times New Roman"/>
          <w:sz w:val="24"/>
          <w:szCs w:val="24"/>
          <w:lang w:val="es-UY"/>
        </w:rPr>
        <w:t>Natl</w:t>
      </w:r>
      <w:proofErr w:type="spellEnd"/>
      <w:r w:rsidRPr="009335B6">
        <w:rPr>
          <w:rFonts w:ascii="Times New Roman" w:eastAsia="Times New Roman" w:hAnsi="Times New Roman" w:cs="Times New Roman"/>
          <w:sz w:val="24"/>
          <w:szCs w:val="24"/>
          <w:lang w:val="es-UY"/>
        </w:rPr>
        <w:t xml:space="preserve">. </w:t>
      </w:r>
      <w:r w:rsidRPr="0081315B">
        <w:rPr>
          <w:rFonts w:ascii="Times New Roman" w:eastAsia="Times New Roman" w:hAnsi="Times New Roman" w:cs="Times New Roman"/>
          <w:sz w:val="24"/>
          <w:szCs w:val="24"/>
          <w:lang w:val="es-UY"/>
        </w:rPr>
        <w:t>Acad. S</w:t>
      </w:r>
      <w:proofErr w:type="spellStart"/>
      <w:r w:rsidRPr="0081315B">
        <w:rPr>
          <w:rFonts w:ascii="Times New Roman" w:eastAsia="Times New Roman" w:hAnsi="Times New Roman" w:cs="Times New Roman"/>
          <w:sz w:val="24"/>
          <w:szCs w:val="24"/>
          <w:lang w:val="es-UY"/>
        </w:rPr>
        <w:t>ci</w:t>
      </w:r>
      <w:proofErr w:type="spellEnd"/>
      <w:r w:rsidRPr="0081315B">
        <w:rPr>
          <w:rFonts w:ascii="Times New Roman" w:eastAsia="Times New Roman" w:hAnsi="Times New Roman" w:cs="Times New Roman"/>
          <w:sz w:val="24"/>
          <w:szCs w:val="24"/>
          <w:lang w:val="es-UY"/>
        </w:rPr>
        <w:t xml:space="preserve">. 105:11039–11040. </w:t>
      </w:r>
      <w:hyperlink r:id="rId27" w:history="1">
        <w:r w:rsidR="0081315B" w:rsidRPr="000310ED">
          <w:rPr>
            <w:rStyle w:val="Hipervnculo"/>
            <w:rFonts w:ascii="Times New Roman" w:eastAsia="Times New Roman" w:hAnsi="Times New Roman" w:cs="Times New Roman"/>
            <w:sz w:val="24"/>
            <w:szCs w:val="24"/>
            <w:lang w:val="es-UY"/>
          </w:rPr>
          <w:t>http://dx.doi.org/10.1073/pnas.0806112105</w:t>
        </w:r>
      </w:hyperlink>
    </w:p>
    <w:p w14:paraId="0486821B" w14:textId="36040F3C"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lang w:val="es-UY"/>
        </w:rPr>
        <w:t xml:space="preserve">Carrasco-Letelier, L., A. Beretta Blanco y G. Eguren. 2014. Primer mapa nacional de la calidad del agua de Uruguay. </w:t>
      </w:r>
      <w:r w:rsidRPr="0081315B">
        <w:rPr>
          <w:rFonts w:ascii="Times New Roman" w:eastAsia="Times New Roman" w:hAnsi="Times New Roman" w:cs="Times New Roman"/>
          <w:sz w:val="24"/>
          <w:szCs w:val="24"/>
        </w:rPr>
        <w:t xml:space="preserve">Rev. INIA 39:67–70. </w:t>
      </w:r>
      <w:hyperlink r:id="rId28" w:history="1">
        <w:r w:rsidR="0081315B" w:rsidRPr="000310ED">
          <w:rPr>
            <w:rStyle w:val="Hipervnculo"/>
            <w:rFonts w:ascii="Times New Roman" w:eastAsia="Times New Roman" w:hAnsi="Times New Roman" w:cs="Times New Roman"/>
            <w:sz w:val="24"/>
            <w:szCs w:val="24"/>
          </w:rPr>
          <w:t>http://dx.doi.org/10.13140/RG.2.2.32768.10243/1</w:t>
        </w:r>
      </w:hyperlink>
    </w:p>
    <w:p w14:paraId="5114284E" w14:textId="37129B1F"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Chen, H.-Y., and C. Chen. 2022. Evaluation of Calibration Equations by Using Regression Analysis: An Example of Chemical Analysis. Sensors 22:447. </w:t>
      </w:r>
      <w:hyperlink r:id="rId29" w:history="1">
        <w:r w:rsidR="0081315B" w:rsidRPr="000310ED">
          <w:rPr>
            <w:rStyle w:val="Hipervnculo"/>
            <w:rFonts w:ascii="Times New Roman" w:eastAsia="Times New Roman" w:hAnsi="Times New Roman" w:cs="Times New Roman"/>
            <w:sz w:val="24"/>
            <w:szCs w:val="24"/>
          </w:rPr>
          <w:t>http://dx.doi.org/10.3390/s22020447</w:t>
        </w:r>
      </w:hyperlink>
    </w:p>
    <w:p w14:paraId="6841AA46" w14:textId="14C782CE" w:rsidR="0081315B" w:rsidRPr="0081315B" w:rsidRDefault="00000000">
      <w:pPr>
        <w:spacing w:line="360" w:lineRule="auto"/>
        <w:ind w:left="1133" w:hanging="1133"/>
        <w:rPr>
          <w:rFonts w:ascii="Times New Roman" w:eastAsia="Times New Roman" w:hAnsi="Times New Roman" w:cs="Times New Roman"/>
          <w:sz w:val="24"/>
          <w:szCs w:val="24"/>
        </w:rPr>
      </w:pPr>
      <w:proofErr w:type="spellStart"/>
      <w:r w:rsidRPr="0081315B">
        <w:rPr>
          <w:rFonts w:ascii="Times New Roman" w:eastAsia="Times New Roman" w:hAnsi="Times New Roman" w:cs="Times New Roman"/>
          <w:sz w:val="24"/>
          <w:szCs w:val="24"/>
        </w:rPr>
        <w:lastRenderedPageBreak/>
        <w:t>Cornbleet</w:t>
      </w:r>
      <w:proofErr w:type="spellEnd"/>
      <w:r w:rsidRPr="0081315B">
        <w:rPr>
          <w:rFonts w:ascii="Times New Roman" w:eastAsia="Times New Roman" w:hAnsi="Times New Roman" w:cs="Times New Roman"/>
          <w:sz w:val="24"/>
          <w:szCs w:val="24"/>
        </w:rPr>
        <w:t xml:space="preserve">, P.J., and N. Gochman. 1979. Incorrect least-squares regression coefficients in method-comparison analysis. Clin. Chem. 25:432–438. </w:t>
      </w:r>
      <w:hyperlink r:id="rId30" w:history="1">
        <w:r w:rsidR="0081315B" w:rsidRPr="000310ED">
          <w:rPr>
            <w:rStyle w:val="Hipervnculo"/>
            <w:rFonts w:ascii="Times New Roman" w:eastAsia="Times New Roman" w:hAnsi="Times New Roman" w:cs="Times New Roman"/>
            <w:sz w:val="24"/>
            <w:szCs w:val="24"/>
          </w:rPr>
          <w:t>http://dx.doi.org/10.1093/clinchem/25.3.432</w:t>
        </w:r>
      </w:hyperlink>
    </w:p>
    <w:p w14:paraId="5F65853D" w14:textId="75857471" w:rsidR="0081315B" w:rsidRPr="0081315B" w:rsidRDefault="00000000">
      <w:pPr>
        <w:spacing w:line="360" w:lineRule="auto"/>
        <w:ind w:left="1133" w:hanging="1133"/>
        <w:rPr>
          <w:rFonts w:ascii="Times New Roman" w:eastAsia="Times New Roman" w:hAnsi="Times New Roman" w:cs="Times New Roman"/>
          <w:sz w:val="24"/>
          <w:szCs w:val="24"/>
          <w:lang w:val="es-UY"/>
        </w:rPr>
      </w:pPr>
      <w:r w:rsidRPr="009335B6">
        <w:rPr>
          <w:rFonts w:ascii="Times New Roman" w:eastAsia="Times New Roman" w:hAnsi="Times New Roman" w:cs="Times New Roman"/>
          <w:sz w:val="24"/>
          <w:szCs w:val="24"/>
          <w:lang w:val="en-US"/>
        </w:rPr>
        <w:t xml:space="preserve">De León, L., y G. Chalar. </w:t>
      </w:r>
      <w:r w:rsidRPr="0081315B">
        <w:rPr>
          <w:rFonts w:ascii="Times New Roman" w:eastAsia="Times New Roman" w:hAnsi="Times New Roman" w:cs="Times New Roman"/>
          <w:sz w:val="24"/>
          <w:szCs w:val="24"/>
          <w:lang w:val="es-UY"/>
        </w:rPr>
        <w:t xml:space="preserve">2003. Abundancia y diversidad del fitoplancton en el Embalse de Salto Grande (Argentina – Uruguay). Ciclo estacional y distribución espacial. </w:t>
      </w:r>
      <w:proofErr w:type="spellStart"/>
      <w:r w:rsidRPr="0081315B">
        <w:rPr>
          <w:rFonts w:ascii="Times New Roman" w:eastAsia="Times New Roman" w:hAnsi="Times New Roman" w:cs="Times New Roman"/>
          <w:sz w:val="24"/>
          <w:szCs w:val="24"/>
          <w:lang w:val="es-UY"/>
        </w:rPr>
        <w:t>Limnetica</w:t>
      </w:r>
      <w:proofErr w:type="spellEnd"/>
      <w:r w:rsidRPr="0081315B">
        <w:rPr>
          <w:rFonts w:ascii="Times New Roman" w:eastAsia="Times New Roman" w:hAnsi="Times New Roman" w:cs="Times New Roman"/>
          <w:sz w:val="24"/>
          <w:szCs w:val="24"/>
          <w:lang w:val="es-UY"/>
        </w:rPr>
        <w:t xml:space="preserve"> 22:103–113. </w:t>
      </w:r>
      <w:hyperlink r:id="rId31" w:history="1">
        <w:r w:rsidR="0081315B" w:rsidRPr="000310ED">
          <w:rPr>
            <w:rStyle w:val="Hipervnculo"/>
            <w:rFonts w:ascii="Times New Roman" w:eastAsia="Times New Roman" w:hAnsi="Times New Roman" w:cs="Times New Roman"/>
            <w:sz w:val="24"/>
            <w:szCs w:val="24"/>
            <w:lang w:val="es-UY"/>
          </w:rPr>
          <w:t>http://dx.doi.org/10.23818/limn.22.07</w:t>
        </w:r>
      </w:hyperlink>
    </w:p>
    <w:p w14:paraId="11B08532" w14:textId="678BD27E"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Ellison, S.L.R., and A. </w:t>
      </w:r>
      <w:proofErr w:type="spellStart"/>
      <w:r w:rsidRPr="0081315B">
        <w:rPr>
          <w:rFonts w:ascii="Times New Roman" w:eastAsia="Times New Roman" w:hAnsi="Times New Roman" w:cs="Times New Roman"/>
          <w:sz w:val="24"/>
          <w:szCs w:val="24"/>
        </w:rPr>
        <w:t>Williamns</w:t>
      </w:r>
      <w:proofErr w:type="spellEnd"/>
      <w:r w:rsidRPr="0081315B">
        <w:rPr>
          <w:rFonts w:ascii="Times New Roman" w:eastAsia="Times New Roman" w:hAnsi="Times New Roman" w:cs="Times New Roman"/>
          <w:sz w:val="24"/>
          <w:szCs w:val="24"/>
        </w:rPr>
        <w:t xml:space="preserve">. 2015. EURACHEM/CITAC Guide Quantifying Uncertainty in Analytical Measurement, 3rd ed. </w:t>
      </w:r>
      <w:proofErr w:type="spellStart"/>
      <w:r w:rsidRPr="0081315B">
        <w:rPr>
          <w:rFonts w:ascii="Times New Roman" w:eastAsia="Times New Roman" w:hAnsi="Times New Roman" w:cs="Times New Roman"/>
          <w:sz w:val="24"/>
          <w:szCs w:val="24"/>
        </w:rPr>
        <w:t>Eurachem</w:t>
      </w:r>
      <w:proofErr w:type="spellEnd"/>
      <w:r w:rsidRPr="0081315B">
        <w:rPr>
          <w:rFonts w:ascii="Times New Roman" w:eastAsia="Times New Roman" w:hAnsi="Times New Roman" w:cs="Times New Roman"/>
          <w:sz w:val="24"/>
          <w:szCs w:val="24"/>
        </w:rPr>
        <w:t xml:space="preserve">. </w:t>
      </w:r>
      <w:hyperlink r:id="rId32" w:anchor="contents" w:history="1">
        <w:r w:rsidR="0081315B" w:rsidRPr="000310ED">
          <w:rPr>
            <w:rStyle w:val="Hipervnculo"/>
            <w:rFonts w:ascii="Times New Roman" w:eastAsia="Times New Roman" w:hAnsi="Times New Roman" w:cs="Times New Roman"/>
            <w:sz w:val="24"/>
            <w:szCs w:val="24"/>
          </w:rPr>
          <w:t>https://www.eurachem.org/index.php/3-publications/guides/144-gdmv2014#contents</w:t>
        </w:r>
      </w:hyperlink>
    </w:p>
    <w:p w14:paraId="4B5DFC98" w14:textId="77777777" w:rsidR="00027601"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EPA, 1993. Method 365.1, Revision 2.0: Determination of Phosphorus by Semi-Automated Colorimetry. U.S. Environmental Protection Agency. </w:t>
      </w:r>
    </w:p>
    <w:p w14:paraId="6FB02317" w14:textId="77777777" w:rsidR="00027601"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EPA, 2000. Nutrient Criteria Technical Guidance Manual: Rivers and Streams (EPA-822-B-00-002). U.S. Environmental Protection Agency. </w:t>
      </w:r>
    </w:p>
    <w:p w14:paraId="3E4F1564" w14:textId="0532D595" w:rsidR="0081315B" w:rsidRPr="0081315B" w:rsidRDefault="00000000">
      <w:pPr>
        <w:spacing w:line="360" w:lineRule="auto"/>
        <w:ind w:left="1133" w:hanging="1133"/>
        <w:rPr>
          <w:rFonts w:ascii="Times New Roman" w:eastAsia="Times New Roman" w:hAnsi="Times New Roman" w:cs="Times New Roman"/>
          <w:sz w:val="24"/>
          <w:szCs w:val="24"/>
        </w:rPr>
      </w:pPr>
      <w:proofErr w:type="spellStart"/>
      <w:r w:rsidRPr="0081315B">
        <w:rPr>
          <w:rFonts w:ascii="Times New Roman" w:eastAsia="Times New Roman" w:hAnsi="Times New Roman" w:cs="Times New Roman"/>
          <w:sz w:val="24"/>
          <w:szCs w:val="24"/>
        </w:rPr>
        <w:t>Hošťálková</w:t>
      </w:r>
      <w:proofErr w:type="spellEnd"/>
      <w:r w:rsidRPr="0081315B">
        <w:rPr>
          <w:rFonts w:ascii="Times New Roman" w:eastAsia="Times New Roman" w:hAnsi="Times New Roman" w:cs="Times New Roman"/>
          <w:sz w:val="24"/>
          <w:szCs w:val="24"/>
        </w:rPr>
        <w:t xml:space="preserve">, A., I. Klingelhöfer, and G.E. Morlock. 2013. Comparison of an HPTLC method with the </w:t>
      </w:r>
      <w:proofErr w:type="spellStart"/>
      <w:r w:rsidRPr="0081315B">
        <w:rPr>
          <w:rFonts w:ascii="Times New Roman" w:eastAsia="Times New Roman" w:hAnsi="Times New Roman" w:cs="Times New Roman"/>
          <w:sz w:val="24"/>
          <w:szCs w:val="24"/>
        </w:rPr>
        <w:t>Reflectoquant</w:t>
      </w:r>
      <w:proofErr w:type="spellEnd"/>
      <w:r w:rsidRPr="0081315B">
        <w:rPr>
          <w:rFonts w:ascii="Times New Roman" w:eastAsia="Times New Roman" w:hAnsi="Times New Roman" w:cs="Times New Roman"/>
          <w:sz w:val="24"/>
          <w:szCs w:val="24"/>
        </w:rPr>
        <w:t xml:space="preserve"> assay for rapid determination of 5-hydroxymethylfurfural in honey. Anal. </w:t>
      </w:r>
      <w:proofErr w:type="spellStart"/>
      <w:r w:rsidRPr="0081315B">
        <w:rPr>
          <w:rFonts w:ascii="Times New Roman" w:eastAsia="Times New Roman" w:hAnsi="Times New Roman" w:cs="Times New Roman"/>
          <w:sz w:val="24"/>
          <w:szCs w:val="24"/>
        </w:rPr>
        <w:t>Bioanal</w:t>
      </w:r>
      <w:proofErr w:type="spellEnd"/>
      <w:r w:rsidRPr="0081315B">
        <w:rPr>
          <w:rFonts w:ascii="Times New Roman" w:eastAsia="Times New Roman" w:hAnsi="Times New Roman" w:cs="Times New Roman"/>
          <w:sz w:val="24"/>
          <w:szCs w:val="24"/>
        </w:rPr>
        <w:t xml:space="preserve">. Chem. 405(28):9207–9218. </w:t>
      </w:r>
      <w:hyperlink r:id="rId33" w:history="1">
        <w:r w:rsidR="0081315B" w:rsidRPr="000310ED">
          <w:rPr>
            <w:rStyle w:val="Hipervnculo"/>
            <w:rFonts w:ascii="Times New Roman" w:eastAsia="Times New Roman" w:hAnsi="Times New Roman" w:cs="Times New Roman"/>
            <w:sz w:val="24"/>
            <w:szCs w:val="24"/>
          </w:rPr>
          <w:t>http://dx.doi.org/10.1007/s00216-013-7339-6</w:t>
        </w:r>
      </w:hyperlink>
    </w:p>
    <w:p w14:paraId="3707FD45" w14:textId="77777777" w:rsidR="00027601"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ISO, 2023. ISO 5725-1: 2023 Accuracy (Trueness and Precision) of Measurement Methods and Results—Part 1: General Principles and Definitions. </w:t>
      </w:r>
    </w:p>
    <w:p w14:paraId="488C09CC" w14:textId="77777777" w:rsidR="00027601"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ISO, 2019. ISO 5725-2:2019 Accuracy (trueness and precision) of measurement methods and results. Part 2: Basic method for the determination of repeatability and reproducibility of a standard measurement method. </w:t>
      </w:r>
    </w:p>
    <w:p w14:paraId="6E0BABC6" w14:textId="5726AF4E"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Krishnan, R.A., S.J. Kumari, and S. Raj. 2024. Comparison of Sample Size and Rejection Limits for Lot-to-Lot Verification Using Two Different Protocols: A Cross-Sectional Study. Natl. J. Lab. Med. 13(3):BO04 - BO07. </w:t>
      </w:r>
      <w:hyperlink r:id="rId34" w:history="1">
        <w:r w:rsidR="0081315B" w:rsidRPr="000310ED">
          <w:rPr>
            <w:rStyle w:val="Hipervnculo"/>
            <w:rFonts w:ascii="Times New Roman" w:eastAsia="Times New Roman" w:hAnsi="Times New Roman" w:cs="Times New Roman"/>
            <w:sz w:val="24"/>
            <w:szCs w:val="24"/>
          </w:rPr>
          <w:t>http://dx.doi.org/10.7860/njlm/2024/65536.2855</w:t>
        </w:r>
      </w:hyperlink>
    </w:p>
    <w:p w14:paraId="2F443859" w14:textId="34EE09E7"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lastRenderedPageBreak/>
        <w:t xml:space="preserve">Li, X., H. Nan, H. Jiang, H. Wang, and C. Wang. 2023. Research trends on phosphorus removal from wastewater: A review and bibliometric analysis from 2000 to 2022. J. Water Process Eng. 55:104201. </w:t>
      </w:r>
      <w:hyperlink r:id="rId35" w:history="1">
        <w:r w:rsidR="0081315B" w:rsidRPr="000310ED">
          <w:rPr>
            <w:rStyle w:val="Hipervnculo"/>
            <w:rFonts w:ascii="Times New Roman" w:eastAsia="Times New Roman" w:hAnsi="Times New Roman" w:cs="Times New Roman"/>
            <w:sz w:val="24"/>
            <w:szCs w:val="24"/>
          </w:rPr>
          <w:t>http://dx.doi.org/10.1016/j.jwpe.2023.104201</w:t>
        </w:r>
      </w:hyperlink>
    </w:p>
    <w:p w14:paraId="2A47A18A" w14:textId="77777777" w:rsidR="00027601"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Linnet, K. 1999. Necessary Sample Size for Method Comparison Studies Based on Regression Analysis. Clin. Chem. 45(6):882–894. http://dx.doi.org/10.1093/clinchem/45.6.882</w:t>
      </w:r>
    </w:p>
    <w:p w14:paraId="0016B222" w14:textId="50DDB002"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Linnet, K., 1993. Evaluation of regression procedures for methods comparison studies. Clin. Chem. 39(3):424–432. </w:t>
      </w:r>
      <w:hyperlink r:id="rId36" w:history="1">
        <w:r w:rsidR="0081315B" w:rsidRPr="000310ED">
          <w:rPr>
            <w:rStyle w:val="Hipervnculo"/>
            <w:rFonts w:ascii="Times New Roman" w:eastAsia="Times New Roman" w:hAnsi="Times New Roman" w:cs="Times New Roman"/>
            <w:sz w:val="24"/>
            <w:szCs w:val="24"/>
          </w:rPr>
          <w:t>http://dx.doi.org/10.1093/clinchem/39.3.424</w:t>
        </w:r>
      </w:hyperlink>
    </w:p>
    <w:p w14:paraId="2DF55164" w14:textId="628EDCFB"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López Moreira, G.A., L. </w:t>
      </w:r>
      <w:proofErr w:type="spellStart"/>
      <w:r w:rsidRPr="0081315B">
        <w:rPr>
          <w:rFonts w:ascii="Times New Roman" w:eastAsia="Times New Roman" w:hAnsi="Times New Roman" w:cs="Times New Roman"/>
          <w:sz w:val="24"/>
          <w:szCs w:val="24"/>
        </w:rPr>
        <w:t>Hinegk</w:t>
      </w:r>
      <w:proofErr w:type="spellEnd"/>
      <w:r w:rsidRPr="0081315B">
        <w:rPr>
          <w:rFonts w:ascii="Times New Roman" w:eastAsia="Times New Roman" w:hAnsi="Times New Roman" w:cs="Times New Roman"/>
          <w:sz w:val="24"/>
          <w:szCs w:val="24"/>
        </w:rPr>
        <w:t xml:space="preserve">, A. Salvadore, G. Zolezzi, F. </w:t>
      </w:r>
      <w:proofErr w:type="spellStart"/>
      <w:r w:rsidRPr="0081315B">
        <w:rPr>
          <w:rFonts w:ascii="Times New Roman" w:eastAsia="Times New Roman" w:hAnsi="Times New Roman" w:cs="Times New Roman"/>
          <w:sz w:val="24"/>
          <w:szCs w:val="24"/>
        </w:rPr>
        <w:t>Hölker</w:t>
      </w:r>
      <w:proofErr w:type="spellEnd"/>
      <w:r w:rsidRPr="0081315B">
        <w:rPr>
          <w:rFonts w:ascii="Times New Roman" w:eastAsia="Times New Roman" w:hAnsi="Times New Roman" w:cs="Times New Roman"/>
          <w:sz w:val="24"/>
          <w:szCs w:val="24"/>
        </w:rPr>
        <w:t>, R.A. Monte Domecq, M. Bocci, S. Carrer, L. De Nat, J. Escribá, C. Escribá, G.A. Benítez, C.R. Ávalos, I. Peralta, M. Insaurralde, F. Mereles, J.M. Sekatcheff, A. Wehrle, J.F. Facetti-</w:t>
      </w:r>
      <w:proofErr w:type="spellStart"/>
      <w:r w:rsidRPr="0081315B">
        <w:rPr>
          <w:rFonts w:ascii="Times New Roman" w:eastAsia="Times New Roman" w:hAnsi="Times New Roman" w:cs="Times New Roman"/>
          <w:sz w:val="24"/>
          <w:szCs w:val="24"/>
        </w:rPr>
        <w:t>Masulli</w:t>
      </w:r>
      <w:proofErr w:type="spellEnd"/>
      <w:r w:rsidRPr="0081315B">
        <w:rPr>
          <w:rFonts w:ascii="Times New Roman" w:eastAsia="Times New Roman" w:hAnsi="Times New Roman" w:cs="Times New Roman"/>
          <w:sz w:val="24"/>
          <w:szCs w:val="24"/>
        </w:rPr>
        <w:t xml:space="preserve">, J.F. Facetti, and M. </w:t>
      </w:r>
      <w:proofErr w:type="spellStart"/>
      <w:r w:rsidRPr="0081315B">
        <w:rPr>
          <w:rFonts w:ascii="Times New Roman" w:eastAsia="Times New Roman" w:hAnsi="Times New Roman" w:cs="Times New Roman"/>
          <w:sz w:val="24"/>
          <w:szCs w:val="24"/>
        </w:rPr>
        <w:t>Toffolon</w:t>
      </w:r>
      <w:proofErr w:type="spellEnd"/>
      <w:r w:rsidRPr="0081315B">
        <w:rPr>
          <w:rFonts w:ascii="Times New Roman" w:eastAsia="Times New Roman" w:hAnsi="Times New Roman" w:cs="Times New Roman"/>
          <w:sz w:val="24"/>
          <w:szCs w:val="24"/>
        </w:rPr>
        <w:t xml:space="preserve">. 2018. Eutrophication, Research and Management History of the Shallow </w:t>
      </w:r>
      <w:proofErr w:type="spellStart"/>
      <w:r w:rsidRPr="0081315B">
        <w:rPr>
          <w:rFonts w:ascii="Times New Roman" w:eastAsia="Times New Roman" w:hAnsi="Times New Roman" w:cs="Times New Roman"/>
          <w:sz w:val="24"/>
          <w:szCs w:val="24"/>
        </w:rPr>
        <w:t>Ypacaraí</w:t>
      </w:r>
      <w:proofErr w:type="spellEnd"/>
      <w:r w:rsidRPr="0081315B">
        <w:rPr>
          <w:rFonts w:ascii="Times New Roman" w:eastAsia="Times New Roman" w:hAnsi="Times New Roman" w:cs="Times New Roman"/>
          <w:sz w:val="24"/>
          <w:szCs w:val="24"/>
        </w:rPr>
        <w:t xml:space="preserve"> Lake (Paraguay). Sustainability 10(7):2426. </w:t>
      </w:r>
      <w:hyperlink r:id="rId37" w:history="1">
        <w:r w:rsidR="0081315B" w:rsidRPr="000310ED">
          <w:rPr>
            <w:rStyle w:val="Hipervnculo"/>
            <w:rFonts w:ascii="Times New Roman" w:eastAsia="Times New Roman" w:hAnsi="Times New Roman" w:cs="Times New Roman"/>
            <w:sz w:val="24"/>
            <w:szCs w:val="24"/>
          </w:rPr>
          <w:t>http://dx.doi.org/10.3390/su10072426</w:t>
        </w:r>
      </w:hyperlink>
    </w:p>
    <w:p w14:paraId="3C9B96FD" w14:textId="65137C14" w:rsidR="0081315B" w:rsidRPr="0081315B" w:rsidRDefault="00000000">
      <w:pPr>
        <w:spacing w:line="360" w:lineRule="auto"/>
        <w:ind w:left="1133" w:hanging="1133"/>
        <w:rPr>
          <w:rFonts w:ascii="Times New Roman" w:eastAsia="Times New Roman" w:hAnsi="Times New Roman" w:cs="Times New Roman"/>
          <w:sz w:val="24"/>
          <w:szCs w:val="24"/>
        </w:rPr>
      </w:pPr>
      <w:r w:rsidRPr="009335B6">
        <w:rPr>
          <w:rFonts w:ascii="Times New Roman" w:eastAsia="Times New Roman" w:hAnsi="Times New Roman" w:cs="Times New Roman"/>
          <w:sz w:val="24"/>
          <w:szCs w:val="24"/>
        </w:rPr>
        <w:t xml:space="preserve">Lucas, C., G. Chalar, E. </w:t>
      </w:r>
      <w:proofErr w:type="spellStart"/>
      <w:r w:rsidRPr="009335B6">
        <w:rPr>
          <w:rFonts w:ascii="Times New Roman" w:eastAsia="Times New Roman" w:hAnsi="Times New Roman" w:cs="Times New Roman"/>
          <w:sz w:val="24"/>
          <w:szCs w:val="24"/>
        </w:rPr>
        <w:t>Ibarguren</w:t>
      </w:r>
      <w:proofErr w:type="spellEnd"/>
      <w:r w:rsidRPr="009335B6">
        <w:rPr>
          <w:rFonts w:ascii="Times New Roman" w:eastAsia="Times New Roman" w:hAnsi="Times New Roman" w:cs="Times New Roman"/>
          <w:sz w:val="24"/>
          <w:szCs w:val="24"/>
        </w:rPr>
        <w:t xml:space="preserve">, S. Baeza, S. De Giacomi, E. </w:t>
      </w:r>
      <w:proofErr w:type="spellStart"/>
      <w:r w:rsidRPr="009335B6">
        <w:rPr>
          <w:rFonts w:ascii="Times New Roman" w:eastAsia="Times New Roman" w:hAnsi="Times New Roman" w:cs="Times New Roman"/>
          <w:sz w:val="24"/>
          <w:szCs w:val="24"/>
        </w:rPr>
        <w:t>Alvareda</w:t>
      </w:r>
      <w:proofErr w:type="spellEnd"/>
      <w:r w:rsidRPr="009335B6">
        <w:rPr>
          <w:rFonts w:ascii="Times New Roman" w:eastAsia="Times New Roman" w:hAnsi="Times New Roman" w:cs="Times New Roman"/>
          <w:sz w:val="24"/>
          <w:szCs w:val="24"/>
        </w:rPr>
        <w:t xml:space="preserve">, E. Brum, M. Paradiso, P. Mejía, and M. Crossa. </w:t>
      </w:r>
      <w:r w:rsidRPr="0081315B">
        <w:rPr>
          <w:rFonts w:ascii="Times New Roman" w:eastAsia="Times New Roman" w:hAnsi="Times New Roman" w:cs="Times New Roman"/>
          <w:sz w:val="24"/>
          <w:szCs w:val="24"/>
        </w:rPr>
        <w:t xml:space="preserve">2022. Nutrient levels, trophic status and land-use influences on streams, rivers and lakes in a protected floodplain of Uruguay. </w:t>
      </w:r>
      <w:proofErr w:type="spellStart"/>
      <w:r w:rsidRPr="0081315B">
        <w:rPr>
          <w:rFonts w:ascii="Times New Roman" w:eastAsia="Times New Roman" w:hAnsi="Times New Roman" w:cs="Times New Roman"/>
          <w:sz w:val="24"/>
          <w:szCs w:val="24"/>
        </w:rPr>
        <w:t>Limnologica</w:t>
      </w:r>
      <w:proofErr w:type="spellEnd"/>
      <w:r w:rsidRPr="0081315B">
        <w:rPr>
          <w:rFonts w:ascii="Times New Roman" w:eastAsia="Times New Roman" w:hAnsi="Times New Roman" w:cs="Times New Roman"/>
          <w:sz w:val="24"/>
          <w:szCs w:val="24"/>
        </w:rPr>
        <w:t xml:space="preserve"> 94:125966. </w:t>
      </w:r>
      <w:hyperlink r:id="rId38" w:history="1">
        <w:r w:rsidR="0081315B" w:rsidRPr="000310ED">
          <w:rPr>
            <w:rStyle w:val="Hipervnculo"/>
            <w:rFonts w:ascii="Times New Roman" w:eastAsia="Times New Roman" w:hAnsi="Times New Roman" w:cs="Times New Roman"/>
            <w:sz w:val="24"/>
            <w:szCs w:val="24"/>
          </w:rPr>
          <w:t>http://dx.doi.org/10.1016/j.limno.2022.125966</w:t>
        </w:r>
      </w:hyperlink>
    </w:p>
    <w:p w14:paraId="07C8CC5A" w14:textId="024558F8"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Major, D.B.J., and D.P.B. Barraclough. 2003. Measuring Inorganic Orthophosphate in Oilseed Rape Using </w:t>
      </w:r>
      <w:proofErr w:type="spellStart"/>
      <w:r w:rsidRPr="0081315B">
        <w:rPr>
          <w:rFonts w:ascii="Times New Roman" w:eastAsia="Times New Roman" w:hAnsi="Times New Roman" w:cs="Times New Roman"/>
          <w:sz w:val="24"/>
          <w:szCs w:val="24"/>
        </w:rPr>
        <w:t>Reflectoquant</w:t>
      </w:r>
      <w:proofErr w:type="spellEnd"/>
      <w:r w:rsidRPr="0081315B">
        <w:rPr>
          <w:rFonts w:ascii="Times New Roman" w:eastAsia="Times New Roman" w:hAnsi="Times New Roman" w:cs="Times New Roman"/>
          <w:sz w:val="24"/>
          <w:szCs w:val="24"/>
        </w:rPr>
        <w:t xml:space="preserve"> Technology. Commun. Soil Sci. Plant Anal. 34:2839–2851. </w:t>
      </w:r>
      <w:hyperlink r:id="rId39" w:history="1">
        <w:r w:rsidR="0081315B" w:rsidRPr="000310ED">
          <w:rPr>
            <w:rStyle w:val="Hipervnculo"/>
            <w:rFonts w:ascii="Times New Roman" w:eastAsia="Times New Roman" w:hAnsi="Times New Roman" w:cs="Times New Roman"/>
            <w:sz w:val="24"/>
            <w:szCs w:val="24"/>
          </w:rPr>
          <w:t>http://dx.doi.org/10.1081/CSS-120025209</w:t>
        </w:r>
      </w:hyperlink>
    </w:p>
    <w:p w14:paraId="6323B6C2" w14:textId="323F650F" w:rsidR="0081315B" w:rsidRPr="009335B6"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lang w:val="es-UY"/>
        </w:rPr>
        <w:t xml:space="preserve">Ministerio de Ambiente, 2021. Evaluación de la calidad del agua de la cuenca de la Laguna Merín: Periodo 2015-2019. </w:t>
      </w:r>
      <w:hyperlink r:id="rId40" w:history="1">
        <w:r w:rsidR="0081315B" w:rsidRPr="009335B6">
          <w:rPr>
            <w:rStyle w:val="Hipervnculo"/>
            <w:rFonts w:ascii="Times New Roman" w:eastAsia="Times New Roman" w:hAnsi="Times New Roman" w:cs="Times New Roman"/>
            <w:sz w:val="24"/>
            <w:szCs w:val="24"/>
          </w:rPr>
          <w:t>https://www.ambiente.gub.uy/oan/documentos/DCA_Informe-evaluaci%C3%B3n-calidad-de-agua_Laguna-Mer%C3%ADn-2015-2019.pdf</w:t>
        </w:r>
      </w:hyperlink>
    </w:p>
    <w:p w14:paraId="42E2BCFE" w14:textId="323AA347" w:rsidR="0081315B" w:rsidRPr="0081315B" w:rsidRDefault="00000000">
      <w:pPr>
        <w:spacing w:line="360" w:lineRule="auto"/>
        <w:ind w:left="1133" w:hanging="1133"/>
        <w:rPr>
          <w:rFonts w:ascii="Times New Roman" w:eastAsia="Times New Roman" w:hAnsi="Times New Roman" w:cs="Times New Roman"/>
          <w:sz w:val="24"/>
          <w:szCs w:val="24"/>
          <w:lang w:val="es-UY"/>
        </w:rPr>
      </w:pPr>
      <w:proofErr w:type="spellStart"/>
      <w:r w:rsidRPr="0081315B">
        <w:rPr>
          <w:rFonts w:ascii="Times New Roman" w:eastAsia="Times New Roman" w:hAnsi="Times New Roman" w:cs="Times New Roman"/>
          <w:sz w:val="24"/>
          <w:szCs w:val="24"/>
        </w:rPr>
        <w:t>Mogashane</w:t>
      </w:r>
      <w:proofErr w:type="spellEnd"/>
      <w:r w:rsidRPr="0081315B">
        <w:rPr>
          <w:rFonts w:ascii="Times New Roman" w:eastAsia="Times New Roman" w:hAnsi="Times New Roman" w:cs="Times New Roman"/>
          <w:sz w:val="24"/>
          <w:szCs w:val="24"/>
        </w:rPr>
        <w:t xml:space="preserve">, T. M., O. </w:t>
      </w:r>
      <w:proofErr w:type="spellStart"/>
      <w:r w:rsidRPr="0081315B">
        <w:rPr>
          <w:rFonts w:ascii="Times New Roman" w:eastAsia="Times New Roman" w:hAnsi="Times New Roman" w:cs="Times New Roman"/>
          <w:sz w:val="24"/>
          <w:szCs w:val="24"/>
        </w:rPr>
        <w:t>Mapazi</w:t>
      </w:r>
      <w:proofErr w:type="spellEnd"/>
      <w:r w:rsidRPr="0081315B">
        <w:rPr>
          <w:rFonts w:ascii="Times New Roman" w:eastAsia="Times New Roman" w:hAnsi="Times New Roman" w:cs="Times New Roman"/>
          <w:sz w:val="24"/>
          <w:szCs w:val="24"/>
        </w:rPr>
        <w:t xml:space="preserve">, M.A. </w:t>
      </w:r>
      <w:proofErr w:type="spellStart"/>
      <w:r w:rsidRPr="0081315B">
        <w:rPr>
          <w:rFonts w:ascii="Times New Roman" w:eastAsia="Times New Roman" w:hAnsi="Times New Roman" w:cs="Times New Roman"/>
          <w:sz w:val="24"/>
          <w:szCs w:val="24"/>
        </w:rPr>
        <w:t>Motlatle</w:t>
      </w:r>
      <w:proofErr w:type="spellEnd"/>
      <w:r w:rsidRPr="0081315B">
        <w:rPr>
          <w:rFonts w:ascii="Times New Roman" w:eastAsia="Times New Roman" w:hAnsi="Times New Roman" w:cs="Times New Roman"/>
          <w:sz w:val="24"/>
          <w:szCs w:val="24"/>
        </w:rPr>
        <w:t xml:space="preserve">, L. Mokoena, and J. Tshilongo. 2025. A review of recent developments in analytical methods for determination of phosphorus from environmental samples. </w:t>
      </w:r>
      <w:proofErr w:type="spellStart"/>
      <w:r w:rsidRPr="0081315B">
        <w:rPr>
          <w:rFonts w:ascii="Times New Roman" w:eastAsia="Times New Roman" w:hAnsi="Times New Roman" w:cs="Times New Roman"/>
          <w:sz w:val="24"/>
          <w:szCs w:val="24"/>
          <w:lang w:val="es-UY"/>
        </w:rPr>
        <w:t>Molecules</w:t>
      </w:r>
      <w:proofErr w:type="spellEnd"/>
      <w:r w:rsidRPr="0081315B">
        <w:rPr>
          <w:rFonts w:ascii="Times New Roman" w:eastAsia="Times New Roman" w:hAnsi="Times New Roman" w:cs="Times New Roman"/>
          <w:sz w:val="24"/>
          <w:szCs w:val="24"/>
          <w:lang w:val="es-UY"/>
        </w:rPr>
        <w:t xml:space="preserve">, 30 (5):1001. </w:t>
      </w:r>
      <w:hyperlink r:id="rId41" w:history="1">
        <w:r w:rsidR="0081315B" w:rsidRPr="000310ED">
          <w:rPr>
            <w:rStyle w:val="Hipervnculo"/>
            <w:rFonts w:ascii="Times New Roman" w:eastAsia="Times New Roman" w:hAnsi="Times New Roman" w:cs="Times New Roman"/>
            <w:sz w:val="24"/>
            <w:szCs w:val="24"/>
            <w:lang w:val="es-UY"/>
          </w:rPr>
          <w:t>http://dx.doi.org/10.3390/molecules30051001</w:t>
        </w:r>
      </w:hyperlink>
    </w:p>
    <w:p w14:paraId="3D73431A" w14:textId="4E2B8847" w:rsidR="0081315B" w:rsidRPr="0081315B" w:rsidRDefault="00000000">
      <w:pPr>
        <w:spacing w:line="360" w:lineRule="auto"/>
        <w:ind w:left="1133" w:hanging="1133"/>
        <w:rPr>
          <w:rFonts w:ascii="Times New Roman" w:eastAsia="Times New Roman" w:hAnsi="Times New Roman" w:cs="Times New Roman"/>
          <w:sz w:val="24"/>
          <w:szCs w:val="24"/>
        </w:rPr>
      </w:pPr>
      <w:proofErr w:type="spellStart"/>
      <w:r w:rsidRPr="0081315B">
        <w:rPr>
          <w:rFonts w:ascii="Times New Roman" w:eastAsia="Times New Roman" w:hAnsi="Times New Roman" w:cs="Times New Roman"/>
          <w:sz w:val="24"/>
          <w:szCs w:val="24"/>
          <w:lang w:val="es-UY"/>
        </w:rPr>
        <w:lastRenderedPageBreak/>
        <w:t>Moscuzza</w:t>
      </w:r>
      <w:proofErr w:type="spellEnd"/>
      <w:r w:rsidRPr="0081315B">
        <w:rPr>
          <w:rFonts w:ascii="Times New Roman" w:eastAsia="Times New Roman" w:hAnsi="Times New Roman" w:cs="Times New Roman"/>
          <w:sz w:val="24"/>
          <w:szCs w:val="24"/>
          <w:lang w:val="es-UY"/>
        </w:rPr>
        <w:t xml:space="preserve">, C., A.V. </w:t>
      </w:r>
      <w:proofErr w:type="spellStart"/>
      <w:r w:rsidRPr="0081315B">
        <w:rPr>
          <w:rFonts w:ascii="Times New Roman" w:eastAsia="Times New Roman" w:hAnsi="Times New Roman" w:cs="Times New Roman"/>
          <w:sz w:val="24"/>
          <w:szCs w:val="24"/>
          <w:lang w:val="es-UY"/>
        </w:rPr>
        <w:t>Volpedo</w:t>
      </w:r>
      <w:proofErr w:type="spellEnd"/>
      <w:r w:rsidRPr="0081315B">
        <w:rPr>
          <w:rFonts w:ascii="Times New Roman" w:eastAsia="Times New Roman" w:hAnsi="Times New Roman" w:cs="Times New Roman"/>
          <w:sz w:val="24"/>
          <w:szCs w:val="24"/>
          <w:lang w:val="es-UY"/>
        </w:rPr>
        <w:t xml:space="preserve">, C. Ojeda, and A. Fernández Cirelli. </w:t>
      </w:r>
      <w:r w:rsidRPr="0081315B">
        <w:rPr>
          <w:rFonts w:ascii="Times New Roman" w:eastAsia="Times New Roman" w:hAnsi="Times New Roman" w:cs="Times New Roman"/>
          <w:sz w:val="24"/>
          <w:szCs w:val="24"/>
        </w:rPr>
        <w:t xml:space="preserve">2007. Water quality index as a tool for river assessment in agricultural areas in the </w:t>
      </w:r>
      <w:proofErr w:type="spellStart"/>
      <w:r w:rsidRPr="0081315B">
        <w:rPr>
          <w:rFonts w:ascii="Times New Roman" w:eastAsia="Times New Roman" w:hAnsi="Times New Roman" w:cs="Times New Roman"/>
          <w:sz w:val="24"/>
          <w:szCs w:val="24"/>
        </w:rPr>
        <w:t>Pampean</w:t>
      </w:r>
      <w:proofErr w:type="spellEnd"/>
      <w:r w:rsidRPr="0081315B">
        <w:rPr>
          <w:rFonts w:ascii="Times New Roman" w:eastAsia="Times New Roman" w:hAnsi="Times New Roman" w:cs="Times New Roman"/>
          <w:sz w:val="24"/>
          <w:szCs w:val="24"/>
        </w:rPr>
        <w:t xml:space="preserve"> Plains of Argentina. J. Urban Environ. Eng. 1: 24–31. </w:t>
      </w:r>
      <w:hyperlink r:id="rId42" w:history="1">
        <w:r w:rsidR="0081315B" w:rsidRPr="000310ED">
          <w:rPr>
            <w:rStyle w:val="Hipervnculo"/>
            <w:rFonts w:ascii="Times New Roman" w:eastAsia="Times New Roman" w:hAnsi="Times New Roman" w:cs="Times New Roman"/>
            <w:sz w:val="24"/>
            <w:szCs w:val="24"/>
          </w:rPr>
          <w:t>http://dx.doi.org/</w:t>
        </w:r>
      </w:hyperlink>
    </w:p>
    <w:p w14:paraId="733F1C9C" w14:textId="6A93CECE" w:rsidR="0081315B" w:rsidRPr="0081315B" w:rsidRDefault="00000000">
      <w:pPr>
        <w:spacing w:line="360" w:lineRule="auto"/>
        <w:ind w:left="1133" w:hanging="1133"/>
        <w:rPr>
          <w:rFonts w:ascii="Times New Roman" w:eastAsia="Times New Roman" w:hAnsi="Times New Roman" w:cs="Times New Roman"/>
          <w:sz w:val="24"/>
          <w:szCs w:val="24"/>
          <w:lang w:val="es-UY"/>
        </w:rPr>
      </w:pPr>
      <w:r w:rsidRPr="0081315B">
        <w:rPr>
          <w:rFonts w:ascii="Times New Roman" w:eastAsia="Times New Roman" w:hAnsi="Times New Roman" w:cs="Times New Roman"/>
          <w:sz w:val="24"/>
          <w:szCs w:val="24"/>
        </w:rPr>
        <w:t xml:space="preserve">Murphy, J., and J.P. Riley. 1962. A modified single solution method for the determination of phosphate in natural waters. </w:t>
      </w:r>
      <w:r w:rsidRPr="0081315B">
        <w:rPr>
          <w:rFonts w:ascii="Times New Roman" w:eastAsia="Times New Roman" w:hAnsi="Times New Roman" w:cs="Times New Roman"/>
          <w:sz w:val="24"/>
          <w:szCs w:val="24"/>
          <w:lang w:val="es-UY"/>
        </w:rPr>
        <w:t xml:space="preserve">Anal. Chim. Acta 27:31–36. </w:t>
      </w:r>
      <w:hyperlink r:id="rId43" w:history="1">
        <w:r w:rsidR="0081315B" w:rsidRPr="000310ED">
          <w:rPr>
            <w:rStyle w:val="Hipervnculo"/>
            <w:rFonts w:ascii="Times New Roman" w:eastAsia="Times New Roman" w:hAnsi="Times New Roman" w:cs="Times New Roman"/>
            <w:sz w:val="24"/>
            <w:szCs w:val="24"/>
            <w:lang w:val="es-UY"/>
          </w:rPr>
          <w:t>http://dx.doi.org/10.1016/S0003-2670(00)88444-5</w:t>
        </w:r>
      </w:hyperlink>
    </w:p>
    <w:p w14:paraId="51F374A4" w14:textId="77777777" w:rsidR="00027601" w:rsidRPr="0081315B" w:rsidRDefault="00000000">
      <w:pPr>
        <w:spacing w:line="360" w:lineRule="auto"/>
        <w:ind w:left="1133" w:hanging="1133"/>
        <w:rPr>
          <w:rFonts w:ascii="Times New Roman" w:hAnsi="Times New Roman" w:cs="Times New Roman"/>
          <w:lang w:val="es-UY"/>
        </w:rPr>
      </w:pPr>
      <w:r w:rsidRPr="0081315B">
        <w:rPr>
          <w:rFonts w:ascii="Times New Roman" w:eastAsia="Times New Roman" w:hAnsi="Times New Roman" w:cs="Times New Roman"/>
          <w:sz w:val="24"/>
          <w:szCs w:val="24"/>
          <w:lang w:val="es-UY"/>
        </w:rPr>
        <w:t>MVOTMA, (Ministerio de Vivienda Ordenamiento Territorial y Medio Ambiente). 2018. Estado ambiental de las lagunas costeras de Rocha y Castillos y de sus principales tributarios.</w:t>
      </w:r>
      <w:hyperlink r:id="rId44">
        <w:r w:rsidR="00027601" w:rsidRPr="0081315B">
          <w:rPr>
            <w:rFonts w:ascii="Times New Roman" w:eastAsia="Times New Roman" w:hAnsi="Times New Roman" w:cs="Times New Roman"/>
            <w:sz w:val="24"/>
            <w:szCs w:val="24"/>
            <w:lang w:val="es-UY"/>
          </w:rPr>
          <w:t xml:space="preserve"> </w:t>
        </w:r>
      </w:hyperlink>
    </w:p>
    <w:p w14:paraId="43B11B12" w14:textId="13FDB68E" w:rsidR="0081315B" w:rsidRPr="009335B6" w:rsidRDefault="00000000">
      <w:pPr>
        <w:spacing w:line="360" w:lineRule="auto"/>
        <w:ind w:left="1133" w:hanging="1133"/>
        <w:rPr>
          <w:rFonts w:ascii="Times New Roman" w:hAnsi="Times New Roman" w:cs="Times New Roman"/>
        </w:rPr>
      </w:pPr>
      <w:r w:rsidRPr="0081315B">
        <w:rPr>
          <w:rFonts w:ascii="Times New Roman" w:eastAsia="Times New Roman" w:hAnsi="Times New Roman" w:cs="Times New Roman"/>
          <w:sz w:val="24"/>
          <w:szCs w:val="24"/>
          <w:lang w:val="es-UY"/>
        </w:rPr>
        <w:t>MVOTMA-DINAMA. 2020. Informe de calidad ambiental del Río Negro, 2009-2017.</w:t>
      </w:r>
      <w:hyperlink r:id="rId45">
        <w:r w:rsidR="0081315B" w:rsidRPr="0081315B">
          <w:rPr>
            <w:rFonts w:ascii="Times New Roman" w:eastAsia="Times New Roman" w:hAnsi="Times New Roman" w:cs="Times New Roman"/>
            <w:sz w:val="24"/>
            <w:szCs w:val="24"/>
            <w:lang w:val="es-UY"/>
          </w:rPr>
          <w:t xml:space="preserve"> </w:t>
        </w:r>
      </w:hyperlink>
      <w:r w:rsidRPr="0081315B">
        <w:rPr>
          <w:rFonts w:ascii="Times New Roman" w:eastAsia="Times New Roman" w:hAnsi="Times New Roman" w:cs="Times New Roman"/>
          <w:sz w:val="24"/>
          <w:szCs w:val="24"/>
          <w:lang w:val="es-UY"/>
        </w:rPr>
        <w:t xml:space="preserve">Ministerio de Vivienda, Ordenamiento Territorial y Medio Ambiente (MVOTMA) &amp; Dirección Nacional de Medio Ambiente (DINAMA), Uruguay. </w:t>
      </w:r>
      <w:hyperlink r:id="rId46" w:history="1">
        <w:r w:rsidR="0081315B" w:rsidRPr="009335B6">
          <w:rPr>
            <w:rStyle w:val="Hipervnculo"/>
            <w:rFonts w:ascii="Times New Roman" w:eastAsia="Times New Roman" w:hAnsi="Times New Roman" w:cs="Times New Roman"/>
            <w:sz w:val="24"/>
            <w:szCs w:val="24"/>
          </w:rPr>
          <w:t>https://www.gub.uy/ministerio-ambiente/comunicacion/publicaciones/informe-calidad-ambiental-del-rio-negro-2009-2017</w:t>
        </w:r>
      </w:hyperlink>
    </w:p>
    <w:p w14:paraId="51378D95" w14:textId="34024B58" w:rsidR="0081315B" w:rsidRPr="0081315B" w:rsidRDefault="00000000">
      <w:pPr>
        <w:spacing w:line="360" w:lineRule="auto"/>
        <w:ind w:left="1133" w:hanging="1133"/>
        <w:rPr>
          <w:rFonts w:ascii="Times New Roman" w:eastAsia="Times New Roman" w:hAnsi="Times New Roman" w:cs="Times New Roman"/>
          <w:sz w:val="24"/>
          <w:szCs w:val="24"/>
          <w:lang w:val="es-UY"/>
        </w:rPr>
      </w:pPr>
      <w:r w:rsidRPr="0081315B">
        <w:rPr>
          <w:rFonts w:ascii="Times New Roman" w:eastAsia="Times New Roman" w:hAnsi="Times New Roman" w:cs="Times New Roman"/>
          <w:sz w:val="24"/>
          <w:szCs w:val="24"/>
        </w:rPr>
        <w:t xml:space="preserve">Nagul, E.A., I.D. McKelvie, P. Worsfold, and S.D. Kolev. 2015. The molybdenum blue reaction for the determination of orthophosphate revisited: Opening the black box. </w:t>
      </w:r>
      <w:r w:rsidRPr="0081315B">
        <w:rPr>
          <w:rFonts w:ascii="Times New Roman" w:eastAsia="Times New Roman" w:hAnsi="Times New Roman" w:cs="Times New Roman"/>
          <w:sz w:val="24"/>
          <w:szCs w:val="24"/>
          <w:lang w:val="es-UY"/>
        </w:rPr>
        <w:t xml:space="preserve">Anal. Chim. Acta 890:60–82. </w:t>
      </w:r>
      <w:hyperlink r:id="rId47" w:history="1">
        <w:r w:rsidR="0081315B" w:rsidRPr="000310ED">
          <w:rPr>
            <w:rStyle w:val="Hipervnculo"/>
            <w:rFonts w:ascii="Times New Roman" w:eastAsia="Times New Roman" w:hAnsi="Times New Roman" w:cs="Times New Roman"/>
            <w:sz w:val="24"/>
            <w:szCs w:val="24"/>
            <w:lang w:val="es-UY"/>
          </w:rPr>
          <w:t>http://dx.doi.org/10.1016/j.aca.2015.07.030</w:t>
        </w:r>
      </w:hyperlink>
    </w:p>
    <w:p w14:paraId="6E4F4C52" w14:textId="61644BFC"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lang w:val="es-UY"/>
        </w:rPr>
        <w:t xml:space="preserve">Pinto-Coelho, R.M., and M.K. Barcelos Greco. </w:t>
      </w:r>
      <w:r w:rsidRPr="0081315B">
        <w:rPr>
          <w:rFonts w:ascii="Times New Roman" w:eastAsia="Times New Roman" w:hAnsi="Times New Roman" w:cs="Times New Roman"/>
          <w:sz w:val="24"/>
          <w:szCs w:val="24"/>
        </w:rPr>
        <w:t>1999. The contribution of water hyacinth (</w:t>
      </w:r>
      <w:r w:rsidRPr="0081315B">
        <w:rPr>
          <w:rFonts w:ascii="Times New Roman" w:eastAsia="Times New Roman" w:hAnsi="Times New Roman" w:cs="Times New Roman"/>
          <w:i/>
          <w:iCs/>
          <w:sz w:val="24"/>
          <w:szCs w:val="24"/>
        </w:rPr>
        <w:t>Eichhornia crassipes</w:t>
      </w:r>
      <w:r w:rsidRPr="0081315B">
        <w:rPr>
          <w:rFonts w:ascii="Times New Roman" w:eastAsia="Times New Roman" w:hAnsi="Times New Roman" w:cs="Times New Roman"/>
          <w:sz w:val="24"/>
          <w:szCs w:val="24"/>
        </w:rPr>
        <w:t xml:space="preserve">) and zooplankton to the internal cycling of phosphorus in the eutrophic </w:t>
      </w:r>
      <w:proofErr w:type="spellStart"/>
      <w:r w:rsidRPr="0081315B">
        <w:rPr>
          <w:rFonts w:ascii="Times New Roman" w:eastAsia="Times New Roman" w:hAnsi="Times New Roman" w:cs="Times New Roman"/>
          <w:sz w:val="24"/>
          <w:szCs w:val="24"/>
        </w:rPr>
        <w:t>Pampulha</w:t>
      </w:r>
      <w:proofErr w:type="spellEnd"/>
      <w:r w:rsidRPr="0081315B">
        <w:rPr>
          <w:rFonts w:ascii="Times New Roman" w:eastAsia="Times New Roman" w:hAnsi="Times New Roman" w:cs="Times New Roman"/>
          <w:sz w:val="24"/>
          <w:szCs w:val="24"/>
        </w:rPr>
        <w:t xml:space="preserve"> Reservoir, Brazil. </w:t>
      </w:r>
      <w:proofErr w:type="spellStart"/>
      <w:r w:rsidRPr="0081315B">
        <w:rPr>
          <w:rFonts w:ascii="Times New Roman" w:eastAsia="Times New Roman" w:hAnsi="Times New Roman" w:cs="Times New Roman"/>
          <w:sz w:val="24"/>
          <w:szCs w:val="24"/>
        </w:rPr>
        <w:t>Hydrobiologia</w:t>
      </w:r>
      <w:proofErr w:type="spellEnd"/>
      <w:r w:rsidRPr="0081315B">
        <w:rPr>
          <w:rFonts w:ascii="Times New Roman" w:eastAsia="Times New Roman" w:hAnsi="Times New Roman" w:cs="Times New Roman"/>
          <w:sz w:val="24"/>
          <w:szCs w:val="24"/>
        </w:rPr>
        <w:t xml:space="preserve"> 411:115–127. </w:t>
      </w:r>
      <w:hyperlink r:id="rId48" w:history="1">
        <w:r w:rsidR="0081315B" w:rsidRPr="000310ED">
          <w:rPr>
            <w:rStyle w:val="Hipervnculo"/>
            <w:rFonts w:ascii="Times New Roman" w:eastAsia="Times New Roman" w:hAnsi="Times New Roman" w:cs="Times New Roman"/>
            <w:sz w:val="24"/>
            <w:szCs w:val="24"/>
          </w:rPr>
          <w:t>http://dx.doi.org/10.1023/A:1003845516746</w:t>
        </w:r>
      </w:hyperlink>
    </w:p>
    <w:p w14:paraId="10E12CC0" w14:textId="1BAA1C55"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R Core Team. 2025. R: A Language and Environment for Statistical Computing. R Foundation for Statistical Computing, Vienna, Austria. </w:t>
      </w:r>
      <w:hyperlink r:id="rId49" w:history="1">
        <w:r w:rsidR="0081315B" w:rsidRPr="000310ED">
          <w:rPr>
            <w:rStyle w:val="Hipervnculo"/>
            <w:rFonts w:ascii="Times New Roman" w:eastAsia="Times New Roman" w:hAnsi="Times New Roman" w:cs="Times New Roman"/>
            <w:sz w:val="24"/>
            <w:szCs w:val="24"/>
          </w:rPr>
          <w:t>https://www.r-project.org/</w:t>
        </w:r>
      </w:hyperlink>
    </w:p>
    <w:p w14:paraId="0936B1A9" w14:textId="5A40026F" w:rsidR="0081315B" w:rsidRPr="0081315B" w:rsidRDefault="00000000">
      <w:pPr>
        <w:spacing w:line="360" w:lineRule="auto"/>
        <w:ind w:left="1133" w:hanging="1133"/>
        <w:rPr>
          <w:rFonts w:ascii="Times New Roman" w:eastAsia="Times New Roman" w:hAnsi="Times New Roman" w:cs="Times New Roman"/>
          <w:sz w:val="24"/>
          <w:szCs w:val="24"/>
          <w:lang w:val="es-UY"/>
        </w:rPr>
      </w:pPr>
      <w:r w:rsidRPr="0081315B">
        <w:rPr>
          <w:rFonts w:ascii="Times New Roman" w:eastAsia="Times New Roman" w:hAnsi="Times New Roman" w:cs="Times New Roman"/>
          <w:sz w:val="24"/>
          <w:szCs w:val="24"/>
          <w:lang w:val="es-UY"/>
        </w:rPr>
        <w:t>Rodríguez-</w:t>
      </w:r>
      <w:proofErr w:type="gramStart"/>
      <w:r w:rsidRPr="0081315B">
        <w:rPr>
          <w:rFonts w:ascii="Times New Roman" w:eastAsia="Times New Roman" w:hAnsi="Times New Roman" w:cs="Times New Roman"/>
          <w:sz w:val="24"/>
          <w:szCs w:val="24"/>
          <w:lang w:val="es-UY"/>
        </w:rPr>
        <w:t>Gallego</w:t>
      </w:r>
      <w:proofErr w:type="gramEnd"/>
      <w:r w:rsidRPr="0081315B">
        <w:rPr>
          <w:rFonts w:ascii="Times New Roman" w:eastAsia="Times New Roman" w:hAnsi="Times New Roman" w:cs="Times New Roman"/>
          <w:sz w:val="24"/>
          <w:szCs w:val="24"/>
          <w:lang w:val="es-UY"/>
        </w:rPr>
        <w:t xml:space="preserve">, L. 2010. La eutrofización de las lagunas costeras de Uruguay: impacto y optimización de los usos del suelo. Tesis de doctorado, Universidad de la República, Uruguay. </w:t>
      </w:r>
      <w:hyperlink r:id="rId50" w:history="1">
        <w:r w:rsidR="0081315B" w:rsidRPr="000310ED">
          <w:rPr>
            <w:rStyle w:val="Hipervnculo"/>
            <w:rFonts w:ascii="Times New Roman" w:eastAsia="Times New Roman" w:hAnsi="Times New Roman" w:cs="Times New Roman"/>
            <w:sz w:val="24"/>
            <w:szCs w:val="24"/>
            <w:lang w:val="es-UY"/>
          </w:rPr>
          <w:t>https://hdl.handle.net/20.500.12008/8164</w:t>
        </w:r>
      </w:hyperlink>
    </w:p>
    <w:p w14:paraId="5314217F" w14:textId="5F200B7C"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lastRenderedPageBreak/>
        <w:t xml:space="preserve">Sharpley, A., and X. Wang. 2014. Managing agricultural phosphorus for water quality: Lessons from the USA and China. J. Environ. Sci. 26:1770–1782.  </w:t>
      </w:r>
      <w:hyperlink r:id="rId51" w:history="1">
        <w:r w:rsidR="0081315B" w:rsidRPr="000310ED">
          <w:rPr>
            <w:rStyle w:val="Hipervnculo"/>
            <w:rFonts w:ascii="Times New Roman" w:eastAsia="Times New Roman" w:hAnsi="Times New Roman" w:cs="Times New Roman"/>
            <w:sz w:val="24"/>
            <w:szCs w:val="24"/>
          </w:rPr>
          <w:t>http://dx.doi.org/10.1016/j.jes.2014.06.024</w:t>
        </w:r>
      </w:hyperlink>
    </w:p>
    <w:p w14:paraId="278FBAB1" w14:textId="114E2633"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Stöckl, D., K. Dewitte, and L.M. </w:t>
      </w:r>
      <w:proofErr w:type="spellStart"/>
      <w:r w:rsidRPr="0081315B">
        <w:rPr>
          <w:rFonts w:ascii="Times New Roman" w:eastAsia="Times New Roman" w:hAnsi="Times New Roman" w:cs="Times New Roman"/>
          <w:sz w:val="24"/>
          <w:szCs w:val="24"/>
        </w:rPr>
        <w:t>Thienpont</w:t>
      </w:r>
      <w:proofErr w:type="spellEnd"/>
      <w:r w:rsidRPr="0081315B">
        <w:rPr>
          <w:rFonts w:ascii="Times New Roman" w:eastAsia="Times New Roman" w:hAnsi="Times New Roman" w:cs="Times New Roman"/>
          <w:sz w:val="24"/>
          <w:szCs w:val="24"/>
        </w:rPr>
        <w:t xml:space="preserve">. 1998. Validity of linear regression in method comparison studies: Is it limited by the statistical model or the quality of the analytical input data? Clinical Chemistry, 44(11):2340–2346.  </w:t>
      </w:r>
      <w:hyperlink r:id="rId52" w:history="1">
        <w:r w:rsidR="0081315B" w:rsidRPr="000310ED">
          <w:rPr>
            <w:rStyle w:val="Hipervnculo"/>
            <w:rFonts w:ascii="Times New Roman" w:eastAsia="Times New Roman" w:hAnsi="Times New Roman" w:cs="Times New Roman"/>
            <w:sz w:val="24"/>
            <w:szCs w:val="24"/>
          </w:rPr>
          <w:t>https://doi.org/10.1093/clinchem/44.11.2340</w:t>
        </w:r>
      </w:hyperlink>
    </w:p>
    <w:p w14:paraId="0153FA23" w14:textId="39826E57"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UKTAG. 2013. Updated Recommendations on Phosphorus Standards for Rivers. UK Technical Advisory Group on the Water Framework Directive. </w:t>
      </w:r>
      <w:hyperlink r:id="rId53" w:history="1">
        <w:r w:rsidR="0081315B" w:rsidRPr="000310ED">
          <w:rPr>
            <w:rStyle w:val="Hipervnculo"/>
            <w:rFonts w:ascii="Times New Roman" w:eastAsia="Times New Roman" w:hAnsi="Times New Roman" w:cs="Times New Roman"/>
            <w:sz w:val="24"/>
            <w:szCs w:val="24"/>
          </w:rPr>
          <w:t>https://www.wfduk.org/sites/default/files/Media/UKTAG%20Phosphorus%20Standards%20for%20Rivers_Final%20130906.PDF</w:t>
        </w:r>
      </w:hyperlink>
    </w:p>
    <w:p w14:paraId="61034BE7" w14:textId="1B7F3F6F"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Vaughan, M.C.H., W.B. Bowden, J.B. Shanley, A. Vermilyea, B. Wemple, and A.W. Schroth. 2018. Using in situ UV-Visible spectrophotometer sensors to quantify riverine phosphorus partitioning and concentration at a high frequency. </w:t>
      </w:r>
      <w:proofErr w:type="spellStart"/>
      <w:r w:rsidRPr="0081315B">
        <w:rPr>
          <w:rFonts w:ascii="Times New Roman" w:eastAsia="Times New Roman" w:hAnsi="Times New Roman" w:cs="Times New Roman"/>
          <w:sz w:val="24"/>
          <w:szCs w:val="24"/>
        </w:rPr>
        <w:t>Limnol</w:t>
      </w:r>
      <w:proofErr w:type="spellEnd"/>
      <w:r w:rsidRPr="0081315B">
        <w:rPr>
          <w:rFonts w:ascii="Times New Roman" w:eastAsia="Times New Roman" w:hAnsi="Times New Roman" w:cs="Times New Roman"/>
          <w:sz w:val="24"/>
          <w:szCs w:val="24"/>
        </w:rPr>
        <w:t xml:space="preserve">. </w:t>
      </w:r>
      <w:proofErr w:type="spellStart"/>
      <w:r w:rsidRPr="0081315B">
        <w:rPr>
          <w:rFonts w:ascii="Times New Roman" w:eastAsia="Times New Roman" w:hAnsi="Times New Roman" w:cs="Times New Roman"/>
          <w:sz w:val="24"/>
          <w:szCs w:val="24"/>
        </w:rPr>
        <w:t>Oceanogr</w:t>
      </w:r>
      <w:proofErr w:type="spellEnd"/>
      <w:r w:rsidRPr="0081315B">
        <w:rPr>
          <w:rFonts w:ascii="Times New Roman" w:eastAsia="Times New Roman" w:hAnsi="Times New Roman" w:cs="Times New Roman"/>
          <w:sz w:val="24"/>
          <w:szCs w:val="24"/>
        </w:rPr>
        <w:t xml:space="preserve">. Methods 16(12):840–855. </w:t>
      </w:r>
      <w:hyperlink r:id="rId54" w:history="1">
        <w:r w:rsidR="0081315B" w:rsidRPr="000310ED">
          <w:rPr>
            <w:rStyle w:val="Hipervnculo"/>
            <w:rFonts w:ascii="Times New Roman" w:eastAsia="Times New Roman" w:hAnsi="Times New Roman" w:cs="Times New Roman"/>
            <w:sz w:val="24"/>
            <w:szCs w:val="24"/>
          </w:rPr>
          <w:t>http://dx.doi.org/10.1002/lom3.10287</w:t>
        </w:r>
      </w:hyperlink>
    </w:p>
    <w:p w14:paraId="2AABBB2D" w14:textId="2DC278A0"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Westgard, J.O., and M.R. Hunt. 1973. Use and interpretation of common statistical tests in method-comparison studies. Clinical Chemistry, 19(1):49–57. </w:t>
      </w:r>
      <w:hyperlink r:id="rId55" w:history="1">
        <w:r w:rsidR="0081315B" w:rsidRPr="000310ED">
          <w:rPr>
            <w:rStyle w:val="Hipervnculo"/>
            <w:rFonts w:ascii="Times New Roman" w:eastAsia="Times New Roman" w:hAnsi="Times New Roman" w:cs="Times New Roman"/>
            <w:sz w:val="24"/>
            <w:szCs w:val="24"/>
          </w:rPr>
          <w:t>https://doi.org/10.1373/clinchem.2007.094060</w:t>
        </w:r>
      </w:hyperlink>
    </w:p>
    <w:p w14:paraId="3C9D0737" w14:textId="62C346FE"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Withers, P.J.A., and P.M. Haygarth. 2007. Agriculture, phosphorus and eutrophication: a European perspective. Soil Use Manag. 23(s1):1–4. </w:t>
      </w:r>
      <w:hyperlink r:id="rId56" w:history="1">
        <w:r w:rsidR="0081315B" w:rsidRPr="000310ED">
          <w:rPr>
            <w:rStyle w:val="Hipervnculo"/>
            <w:rFonts w:ascii="Times New Roman" w:eastAsia="Times New Roman" w:hAnsi="Times New Roman" w:cs="Times New Roman"/>
            <w:sz w:val="24"/>
            <w:szCs w:val="24"/>
          </w:rPr>
          <w:t>http://dx.doi.org/10.1111/j.1475-2743.2007.00116.x</w:t>
        </w:r>
      </w:hyperlink>
    </w:p>
    <w:p w14:paraId="7C78B046" w14:textId="5F124A55"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Worsfold, P., I. McKelvie, and P. </w:t>
      </w:r>
      <w:proofErr w:type="spellStart"/>
      <w:r w:rsidRPr="0081315B">
        <w:rPr>
          <w:rFonts w:ascii="Times New Roman" w:eastAsia="Times New Roman" w:hAnsi="Times New Roman" w:cs="Times New Roman"/>
          <w:sz w:val="24"/>
          <w:szCs w:val="24"/>
        </w:rPr>
        <w:t>Monbet</w:t>
      </w:r>
      <w:proofErr w:type="spellEnd"/>
      <w:r w:rsidRPr="0081315B">
        <w:rPr>
          <w:rFonts w:ascii="Times New Roman" w:eastAsia="Times New Roman" w:hAnsi="Times New Roman" w:cs="Times New Roman"/>
          <w:sz w:val="24"/>
          <w:szCs w:val="24"/>
        </w:rPr>
        <w:t xml:space="preserve">. 2016. Determination of phosphorus in natural waters: A historical review. Anal. Chim. Acta 918:8–20. </w:t>
      </w:r>
      <w:hyperlink r:id="rId57" w:history="1">
        <w:r w:rsidR="0081315B" w:rsidRPr="000310ED">
          <w:rPr>
            <w:rStyle w:val="Hipervnculo"/>
            <w:rFonts w:ascii="Times New Roman" w:eastAsia="Times New Roman" w:hAnsi="Times New Roman" w:cs="Times New Roman"/>
            <w:sz w:val="24"/>
            <w:szCs w:val="24"/>
          </w:rPr>
          <w:t>http://dx.doi.org/10.1016/j.aca.2016.02.047</w:t>
        </w:r>
      </w:hyperlink>
    </w:p>
    <w:p w14:paraId="40C3FDF0" w14:textId="145FAD16" w:rsidR="0081315B" w:rsidRPr="0081315B" w:rsidRDefault="00000000">
      <w:pPr>
        <w:spacing w:line="360" w:lineRule="auto"/>
        <w:ind w:left="1133" w:hanging="1133"/>
        <w:rPr>
          <w:rFonts w:ascii="Times New Roman" w:eastAsia="Times New Roman" w:hAnsi="Times New Roman" w:cs="Times New Roman"/>
          <w:sz w:val="24"/>
          <w:szCs w:val="24"/>
        </w:rPr>
      </w:pPr>
      <w:r w:rsidRPr="0081315B">
        <w:rPr>
          <w:rFonts w:ascii="Times New Roman" w:eastAsia="Times New Roman" w:hAnsi="Times New Roman" w:cs="Times New Roman"/>
          <w:sz w:val="24"/>
          <w:szCs w:val="24"/>
        </w:rPr>
        <w:t xml:space="preserve">Worsfold, P.J., L.J. Gimbert, U. </w:t>
      </w:r>
      <w:proofErr w:type="spellStart"/>
      <w:r w:rsidRPr="0081315B">
        <w:rPr>
          <w:rFonts w:ascii="Times New Roman" w:eastAsia="Times New Roman" w:hAnsi="Times New Roman" w:cs="Times New Roman"/>
          <w:sz w:val="24"/>
          <w:szCs w:val="24"/>
        </w:rPr>
        <w:t>Mankasingh</w:t>
      </w:r>
      <w:proofErr w:type="spellEnd"/>
      <w:r w:rsidRPr="0081315B">
        <w:rPr>
          <w:rFonts w:ascii="Times New Roman" w:eastAsia="Times New Roman" w:hAnsi="Times New Roman" w:cs="Times New Roman"/>
          <w:sz w:val="24"/>
          <w:szCs w:val="24"/>
        </w:rPr>
        <w:t xml:space="preserve">, O.N. Omaka, G. Hanrahan, P.C.F.C. Gardolinski, P.M. Haygarth, B.L. Turner, M.J. Keith-Roach, and I.D. McKelvie. 2005. Sampling, sample treatment and quality assurance issues for the determination of phosphorus </w:t>
      </w:r>
      <w:r w:rsidRPr="0081315B">
        <w:rPr>
          <w:rFonts w:ascii="Times New Roman" w:eastAsia="Times New Roman" w:hAnsi="Times New Roman" w:cs="Times New Roman"/>
          <w:sz w:val="24"/>
          <w:szCs w:val="24"/>
        </w:rPr>
        <w:lastRenderedPageBreak/>
        <w:t xml:space="preserve">species in natural waters and soils. </w:t>
      </w:r>
      <w:proofErr w:type="spellStart"/>
      <w:r w:rsidRPr="0081315B">
        <w:rPr>
          <w:rFonts w:ascii="Times New Roman" w:eastAsia="Times New Roman" w:hAnsi="Times New Roman" w:cs="Times New Roman"/>
          <w:sz w:val="24"/>
          <w:szCs w:val="24"/>
        </w:rPr>
        <w:t>Talanta</w:t>
      </w:r>
      <w:proofErr w:type="spellEnd"/>
      <w:r w:rsidRPr="0081315B">
        <w:rPr>
          <w:rFonts w:ascii="Times New Roman" w:eastAsia="Times New Roman" w:hAnsi="Times New Roman" w:cs="Times New Roman"/>
          <w:sz w:val="24"/>
          <w:szCs w:val="24"/>
        </w:rPr>
        <w:t xml:space="preserve">, 66(2):273–293. </w:t>
      </w:r>
      <w:hyperlink r:id="rId58" w:history="1">
        <w:r w:rsidR="0081315B" w:rsidRPr="000310ED">
          <w:rPr>
            <w:rStyle w:val="Hipervnculo"/>
            <w:rFonts w:ascii="Times New Roman" w:eastAsia="Times New Roman" w:hAnsi="Times New Roman" w:cs="Times New Roman"/>
            <w:sz w:val="24"/>
            <w:szCs w:val="24"/>
          </w:rPr>
          <w:t>http://dx.doi.org/10.1016/j.talanta.2004.09.006</w:t>
        </w:r>
      </w:hyperlink>
    </w:p>
    <w:p w14:paraId="19F6FFEB" w14:textId="46E17B0F" w:rsidR="0081315B" w:rsidRPr="0081315B" w:rsidRDefault="00000000">
      <w:pPr>
        <w:spacing w:line="360" w:lineRule="auto"/>
        <w:ind w:left="1133" w:hanging="1133"/>
        <w:rPr>
          <w:rFonts w:ascii="Times New Roman" w:eastAsia="Times New Roman" w:hAnsi="Times New Roman" w:cs="Times New Roman"/>
          <w:sz w:val="24"/>
          <w:szCs w:val="24"/>
          <w:lang w:val="es-UY"/>
        </w:rPr>
      </w:pPr>
      <w:r w:rsidRPr="0081315B">
        <w:rPr>
          <w:rFonts w:ascii="Times New Roman" w:eastAsia="Times New Roman" w:hAnsi="Times New Roman" w:cs="Times New Roman"/>
          <w:sz w:val="24"/>
          <w:szCs w:val="24"/>
        </w:rPr>
        <w:t xml:space="preserve">Yanu, P., and J. </w:t>
      </w:r>
      <w:proofErr w:type="spellStart"/>
      <w:r w:rsidRPr="0081315B">
        <w:rPr>
          <w:rFonts w:ascii="Times New Roman" w:eastAsia="Times New Roman" w:hAnsi="Times New Roman" w:cs="Times New Roman"/>
          <w:sz w:val="24"/>
          <w:szCs w:val="24"/>
        </w:rPr>
        <w:t>Jakmunee</w:t>
      </w:r>
      <w:proofErr w:type="spellEnd"/>
      <w:r w:rsidRPr="0081315B">
        <w:rPr>
          <w:rFonts w:ascii="Times New Roman" w:eastAsia="Times New Roman" w:hAnsi="Times New Roman" w:cs="Times New Roman"/>
          <w:sz w:val="24"/>
          <w:szCs w:val="24"/>
        </w:rPr>
        <w:t xml:space="preserve">. 2015. Flow injection with in-line reduction column and conductometric detection for determination of total inorganic nitrogen in soil. </w:t>
      </w:r>
      <w:proofErr w:type="spellStart"/>
      <w:r w:rsidRPr="0081315B">
        <w:rPr>
          <w:rFonts w:ascii="Times New Roman" w:eastAsia="Times New Roman" w:hAnsi="Times New Roman" w:cs="Times New Roman"/>
          <w:sz w:val="24"/>
          <w:szCs w:val="24"/>
          <w:lang w:val="es-UY"/>
        </w:rPr>
        <w:t>Talanta</w:t>
      </w:r>
      <w:proofErr w:type="spellEnd"/>
      <w:r w:rsidRPr="0081315B">
        <w:rPr>
          <w:rFonts w:ascii="Times New Roman" w:eastAsia="Times New Roman" w:hAnsi="Times New Roman" w:cs="Times New Roman"/>
          <w:sz w:val="24"/>
          <w:szCs w:val="24"/>
          <w:lang w:val="es-UY"/>
        </w:rPr>
        <w:t xml:space="preserve"> 144:263–267. </w:t>
      </w:r>
      <w:hyperlink r:id="rId59" w:history="1">
        <w:r w:rsidR="0081315B" w:rsidRPr="000310ED">
          <w:rPr>
            <w:rStyle w:val="Hipervnculo"/>
            <w:rFonts w:ascii="Times New Roman" w:eastAsia="Times New Roman" w:hAnsi="Times New Roman" w:cs="Times New Roman"/>
            <w:sz w:val="24"/>
            <w:szCs w:val="24"/>
            <w:lang w:val="es-UY"/>
          </w:rPr>
          <w:t>http://dx.doi.org/10.1016/j.talanta.2015.06.002</w:t>
        </w:r>
      </w:hyperlink>
    </w:p>
    <w:p w14:paraId="4BD077CE" w14:textId="204EE9B2" w:rsidR="0081315B" w:rsidRDefault="00000000">
      <w:pPr>
        <w:spacing w:line="360" w:lineRule="auto"/>
        <w:ind w:left="1133" w:hanging="1133"/>
      </w:pPr>
      <w:r w:rsidRPr="0081315B">
        <w:rPr>
          <w:rFonts w:ascii="Times New Roman" w:eastAsia="Times New Roman" w:hAnsi="Times New Roman" w:cs="Times New Roman"/>
          <w:sz w:val="24"/>
          <w:szCs w:val="24"/>
          <w:lang w:val="es-UY"/>
        </w:rPr>
        <w:t xml:space="preserve">Zampella, R.A. 1994. </w:t>
      </w:r>
      <w:r w:rsidRPr="0081315B">
        <w:rPr>
          <w:rFonts w:ascii="Times New Roman" w:eastAsia="Times New Roman" w:hAnsi="Times New Roman" w:cs="Times New Roman"/>
          <w:sz w:val="24"/>
          <w:szCs w:val="24"/>
        </w:rPr>
        <w:t xml:space="preserve">Characterization of Surface Water Quality Along a Watershed Disturbance Gradient1. JAWRA J. Am. Water </w:t>
      </w:r>
      <w:proofErr w:type="spellStart"/>
      <w:r w:rsidRPr="0081315B">
        <w:rPr>
          <w:rFonts w:ascii="Times New Roman" w:eastAsia="Times New Roman" w:hAnsi="Times New Roman" w:cs="Times New Roman"/>
          <w:sz w:val="24"/>
          <w:szCs w:val="24"/>
        </w:rPr>
        <w:t>Resour</w:t>
      </w:r>
      <w:proofErr w:type="spellEnd"/>
      <w:r w:rsidRPr="0081315B">
        <w:rPr>
          <w:rFonts w:ascii="Times New Roman" w:eastAsia="Times New Roman" w:hAnsi="Times New Roman" w:cs="Times New Roman"/>
          <w:sz w:val="24"/>
          <w:szCs w:val="24"/>
        </w:rPr>
        <w:t xml:space="preserve">. Assoc. 30(4):605–611. </w:t>
      </w:r>
      <w:hyperlink r:id="rId60" w:history="1">
        <w:r w:rsidR="0081315B" w:rsidRPr="000310ED">
          <w:rPr>
            <w:rStyle w:val="Hipervnculo"/>
            <w:rFonts w:ascii="Times New Roman" w:eastAsia="Times New Roman" w:hAnsi="Times New Roman" w:cs="Times New Roman"/>
            <w:sz w:val="24"/>
            <w:szCs w:val="24"/>
          </w:rPr>
          <w:t>https://onlinelibrary.wiley.com/doi/10.1111/j.1752-1688.1994.tb03315.x</w:t>
        </w:r>
      </w:hyperlink>
    </w:p>
    <w:p w14:paraId="0CB7797F" w14:textId="77777777" w:rsidR="009335B6" w:rsidRDefault="009335B6">
      <w:pPr>
        <w:sectPr w:rsidR="009335B6" w:rsidSect="009335B6">
          <w:footerReference w:type="default" r:id="rId61"/>
          <w:pgSz w:w="12240" w:h="15840" w:code="1"/>
          <w:pgMar w:top="1440" w:right="1440" w:bottom="2073" w:left="1440" w:header="0" w:footer="1440" w:gutter="0"/>
          <w:lnNumType w:countBy="1" w:restart="continuous"/>
          <w:pgNumType w:start="1"/>
          <w:cols w:space="720"/>
          <w:docGrid w:linePitch="272"/>
        </w:sectPr>
      </w:pPr>
    </w:p>
    <w:p w14:paraId="769D72F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lastRenderedPageBreak/>
        <w:t>Supplementary Material</w:t>
      </w:r>
    </w:p>
    <w:p w14:paraId="1150251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VALIDATING REFLECTOQUANT™ METHOD FOR PHOSPHORUS QUANTIFICATION IN URUGUAYAN WATERS</w:t>
      </w:r>
    </w:p>
    <w:p w14:paraId="4AAC394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S1. Equations used for method validation</w:t>
      </w:r>
    </w:p>
    <w:p w14:paraId="4C1E22A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Repeatability (precision)</w:t>
      </w:r>
    </w:p>
    <w:p w14:paraId="3B24FE1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The statistical analyses to evaluate the precision, accuracy, uncertainty, and limit of detection (LOD) of the SPEC (reference) and REFL (alternative) methods for phosphate determination were performed using the averages of triplicates obtained on the same day in the same laboratory, considering only the concentrations where both methods provided readings (0.04–0.25 mg L</w:t>
      </w:r>
      <w:r w:rsidRPr="009335B6">
        <w:rPr>
          <w:rFonts w:ascii="Times New Roman" w:hAnsi="Times New Roman" w:cs="Times New Roman"/>
          <w:sz w:val="24"/>
          <w:szCs w:val="24"/>
          <w:vertAlign w:val="superscript"/>
        </w:rPr>
        <w:t>-1</w:t>
      </w:r>
      <w:r w:rsidRPr="009335B6">
        <w:rPr>
          <w:rFonts w:ascii="Times New Roman" w:hAnsi="Times New Roman" w:cs="Times New Roman"/>
          <w:sz w:val="24"/>
          <w:szCs w:val="24"/>
        </w:rPr>
        <w:t>, n = 10) for comparison, while for SPEC all concentrations (0.01–0.25 mg L</w:t>
      </w:r>
      <w:r w:rsidRPr="009335B6">
        <w:rPr>
          <w:rFonts w:ascii="Times New Roman" w:hAnsi="Times New Roman" w:cs="Times New Roman"/>
          <w:sz w:val="24"/>
          <w:szCs w:val="24"/>
          <w:vertAlign w:val="superscript"/>
        </w:rPr>
        <w:t>-1</w:t>
      </w:r>
      <w:r w:rsidRPr="009335B6">
        <w:rPr>
          <w:rFonts w:ascii="Times New Roman" w:hAnsi="Times New Roman" w:cs="Times New Roman"/>
          <w:sz w:val="24"/>
          <w:szCs w:val="24"/>
        </w:rPr>
        <w:t>, m = 13) were included. The repeatability was calculated per concentration using the triplicate standard deviation [Eq. 1], and globally by combining the variances of all concentrations [Eq. 2], with the coefficient of variation [Eq. 3] and the associated uncertainty [Eq. 4].  Repeatability with a coefficient of variation of less than 5% in high ranges and 10% in low ranges is considered acceptable, according to ISO 5725 (ISO, 2023, 2019).</w:t>
      </w:r>
    </w:p>
    <w:p w14:paraId="1533CD5C" w14:textId="77777777" w:rsidR="009335B6" w:rsidRPr="009335B6" w:rsidRDefault="009335B6" w:rsidP="009335B6">
      <w:pPr>
        <w:rPr>
          <w:rFonts w:ascii="Times New Roman" w:hAnsi="Times New Roman" w:cs="Times New Roman"/>
          <w:sz w:val="24"/>
          <w:szCs w:val="24"/>
        </w:rPr>
      </w:pPr>
    </w:p>
    <w:p w14:paraId="7F5A0D92" w14:textId="2B15CB07" w:rsidR="009335B6" w:rsidRPr="009335B6" w:rsidRDefault="009335B6" w:rsidP="009335B6">
      <w:pP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i,j</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3</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acc>
                          </m:e>
                        </m:d>
                      </m:e>
                      <m:sup>
                        <m:r>
                          <w:rPr>
                            <w:rFonts w:ascii="Cambria Math" w:hAnsi="Cambria Math" w:cs="Times New Roman"/>
                            <w:sz w:val="24"/>
                            <w:szCs w:val="24"/>
                          </w:rPr>
                          <m:t>2</m:t>
                        </m:r>
                      </m:sup>
                    </m:sSup>
                  </m:e>
                </m:nary>
              </m:num>
              <m:den>
                <m:r>
                  <w:rPr>
                    <w:rFonts w:ascii="Cambria Math" w:hAnsi="Cambria Math" w:cs="Times New Roman"/>
                    <w:sz w:val="24"/>
                    <w:szCs w:val="24"/>
                  </w:rPr>
                  <m:t>3-1</m:t>
                </m:r>
              </m:den>
            </m:f>
          </m:e>
        </m:rad>
      </m:oMath>
      <w:r w:rsidRPr="009335B6">
        <w:rPr>
          <w:rFonts w:ascii="Times New Roman" w:hAnsi="Times New Roman" w:cs="Times New Roman"/>
          <w:sz w:val="24"/>
          <w:szCs w:val="24"/>
        </w:rPr>
        <w:t xml:space="preserve">  </w:t>
      </w:r>
      <w:r w:rsidRPr="009335B6">
        <w:rPr>
          <w:rFonts w:ascii="Times New Roman" w:hAnsi="Times New Roman" w:cs="Times New Roman"/>
          <w:sz w:val="24"/>
          <w:szCs w:val="24"/>
        </w:rPr>
        <w:tab/>
      </w:r>
      <w:r w:rsidRPr="009335B6">
        <w:rPr>
          <w:rFonts w:ascii="Times New Roman" w:hAnsi="Times New Roman" w:cs="Times New Roman"/>
          <w:sz w:val="24"/>
          <w:szCs w:val="24"/>
        </w:rPr>
        <w:tab/>
        <w:t>eq. 1</w:t>
      </w:r>
    </w:p>
    <w:p w14:paraId="3CC7A15C" w14:textId="77777777" w:rsidR="009335B6" w:rsidRPr="009335B6" w:rsidRDefault="009335B6" w:rsidP="009335B6">
      <w:pPr>
        <w:rPr>
          <w:rFonts w:ascii="Times New Roman" w:hAnsi="Times New Roman" w:cs="Times New Roman"/>
          <w:sz w:val="24"/>
          <w:szCs w:val="24"/>
        </w:rPr>
      </w:pPr>
    </w:p>
    <w:p w14:paraId="5186220F" w14:textId="3C320E98" w:rsidR="009335B6" w:rsidRPr="009335B6" w:rsidRDefault="009335B6" w:rsidP="009335B6">
      <w:pP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r</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3</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acc>
                              </m:e>
                            </m:d>
                          </m:e>
                          <m:sup>
                            <m:r>
                              <w:rPr>
                                <w:rFonts w:ascii="Cambria Math" w:hAnsi="Cambria Math" w:cs="Times New Roman"/>
                                <w:sz w:val="24"/>
                                <w:szCs w:val="24"/>
                              </w:rPr>
                              <m:t>2</m:t>
                            </m:r>
                          </m:sup>
                        </m:sSup>
                      </m:e>
                    </m:nary>
                  </m:e>
                </m:nary>
              </m:num>
              <m:den>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3-1</m:t>
                    </m:r>
                  </m:e>
                </m:d>
              </m:den>
            </m:f>
          </m:e>
        </m:rad>
      </m:oMath>
      <w:r w:rsidRPr="009335B6">
        <w:rPr>
          <w:rFonts w:ascii="Times New Roman" w:hAnsi="Times New Roman" w:cs="Times New Roman"/>
          <w:sz w:val="24"/>
          <w:szCs w:val="24"/>
        </w:rPr>
        <w:t xml:space="preserve">   </w:t>
      </w:r>
      <w:r w:rsidRPr="009335B6">
        <w:rPr>
          <w:rFonts w:ascii="Times New Roman" w:hAnsi="Times New Roman" w:cs="Times New Roman"/>
          <w:sz w:val="24"/>
          <w:szCs w:val="24"/>
        </w:rPr>
        <w:tab/>
        <w:t>eq. 2</w:t>
      </w:r>
    </w:p>
    <w:p w14:paraId="21D578E9" w14:textId="77777777" w:rsidR="009335B6" w:rsidRPr="009335B6" w:rsidRDefault="009335B6" w:rsidP="009335B6">
      <w:pPr>
        <w:rPr>
          <w:rFonts w:ascii="Times New Roman" w:hAnsi="Times New Roman" w:cs="Times New Roman"/>
          <w:sz w:val="24"/>
          <w:szCs w:val="24"/>
        </w:rPr>
      </w:pPr>
    </w:p>
    <w:p w14:paraId="158C45DC" w14:textId="1D1487F3" w:rsidR="009335B6" w:rsidRPr="009335B6" w:rsidRDefault="009335B6" w:rsidP="009335B6">
      <w:pPr>
        <w:rPr>
          <w:rFonts w:ascii="Times New Roman" w:hAnsi="Times New Roman" w:cs="Times New Roman"/>
          <w:sz w:val="24"/>
          <w:szCs w:val="24"/>
        </w:rPr>
      </w:pP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r</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r</m:t>
                </m:r>
              </m:sub>
            </m:sSub>
          </m:num>
          <m:den>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global</m:t>
                    </m:r>
                  </m:sub>
                </m:sSub>
              </m:e>
            </m:acc>
          </m:den>
        </m:f>
        <m:r>
          <w:rPr>
            <w:rFonts w:ascii="Cambria Math" w:hAnsi="Cambria Math" w:cs="Times New Roman"/>
            <w:sz w:val="24"/>
            <w:szCs w:val="24"/>
          </w:rPr>
          <m:t>×100%</m:t>
        </m:r>
      </m:oMath>
      <w:r w:rsidRPr="009335B6">
        <w:rPr>
          <w:rFonts w:ascii="Times New Roman" w:hAnsi="Times New Roman" w:cs="Times New Roman"/>
          <w:sz w:val="24"/>
          <w:szCs w:val="24"/>
        </w:rPr>
        <w:t xml:space="preserve"> </w:t>
      </w:r>
      <w:r w:rsidRPr="009335B6">
        <w:rPr>
          <w:rFonts w:ascii="Times New Roman" w:hAnsi="Times New Roman" w:cs="Times New Roman"/>
          <w:sz w:val="24"/>
          <w:szCs w:val="24"/>
        </w:rPr>
        <w:tab/>
        <w:t>eq. 3</w:t>
      </w:r>
    </w:p>
    <w:p w14:paraId="4160B9C6" w14:textId="77777777" w:rsidR="009335B6" w:rsidRPr="009335B6" w:rsidRDefault="009335B6" w:rsidP="009335B6">
      <w:pPr>
        <w:rPr>
          <w:rFonts w:ascii="Times New Roman" w:hAnsi="Times New Roman" w:cs="Times New Roman"/>
          <w:sz w:val="24"/>
          <w:szCs w:val="24"/>
        </w:rPr>
      </w:pPr>
    </w:p>
    <w:p w14:paraId="36C3CB41" w14:textId="0726A55C" w:rsidR="009335B6" w:rsidRPr="009335B6" w:rsidRDefault="009335B6" w:rsidP="009335B6">
      <w:pPr>
        <w:rPr>
          <w:rFonts w:ascii="Times New Roman" w:hAnsi="Times New Roman" w:cs="Times New Roman"/>
          <w:sz w:val="24"/>
          <w:szCs w:val="24"/>
        </w:rPr>
      </w:pPr>
      <m:oMath>
        <m:r>
          <w:rPr>
            <w:rFonts w:ascii="Cambria Math" w:hAnsi="Cambria Math" w:cs="Times New Roman"/>
            <w:sz w:val="24"/>
            <w:szCs w:val="24"/>
          </w:rPr>
          <m:t>u</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r</m:t>
                </m:r>
              </m:sub>
            </m:sSub>
          </m:e>
        </m:d>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r</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3-1</m:t>
                        </m:r>
                      </m:e>
                    </m:d>
                  </m:e>
                </m:d>
              </m:e>
            </m:rad>
          </m:den>
        </m:f>
      </m:oMath>
      <w:r w:rsidRPr="009335B6">
        <w:rPr>
          <w:rFonts w:ascii="Times New Roman" w:hAnsi="Times New Roman" w:cs="Times New Roman"/>
          <w:sz w:val="24"/>
          <w:szCs w:val="24"/>
        </w:rPr>
        <w:t xml:space="preserve">  </w:t>
      </w:r>
      <w:r w:rsidRPr="009335B6">
        <w:rPr>
          <w:rFonts w:ascii="Times New Roman" w:hAnsi="Times New Roman" w:cs="Times New Roman"/>
          <w:sz w:val="24"/>
          <w:szCs w:val="24"/>
        </w:rPr>
        <w:tab/>
      </w:r>
      <w:r w:rsidRPr="009335B6">
        <w:rPr>
          <w:rFonts w:ascii="Times New Roman" w:hAnsi="Times New Roman" w:cs="Times New Roman"/>
          <w:sz w:val="24"/>
          <w:szCs w:val="24"/>
        </w:rPr>
        <w:tab/>
        <w:t>eq. 4</w:t>
      </w:r>
    </w:p>
    <w:p w14:paraId="10594CCA" w14:textId="77777777" w:rsidR="009335B6" w:rsidRPr="009335B6" w:rsidRDefault="009335B6" w:rsidP="009335B6">
      <w:pPr>
        <w:rPr>
          <w:rFonts w:ascii="Times New Roman" w:hAnsi="Times New Roman" w:cs="Times New Roman"/>
          <w:sz w:val="24"/>
          <w:szCs w:val="24"/>
        </w:rPr>
      </w:pPr>
    </w:p>
    <w:p w14:paraId="4CE3A27F"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lastRenderedPageBreak/>
        <w:t>Accuracy (bias)</w:t>
      </w:r>
    </w:p>
    <w:p w14:paraId="53DDB60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 xml:space="preserve">The accuracy was evaluated through the bias, calculated as the average difference between the averages of REFL and SPEC [Eq. 5], with its uncertainty determined by the standard deviation of the differences [Eq. 6]; the significance of the bias was verified with a t-test [Eq. 7], compared to the critical value at a 95% confidence level and degrees of freedom </w:t>
      </w:r>
      <w:proofErr w:type="spellStart"/>
      <w:r w:rsidRPr="009335B6">
        <w:rPr>
          <w:rFonts w:ascii="Times New Roman" w:hAnsi="Times New Roman" w:cs="Times New Roman"/>
          <w:sz w:val="24"/>
          <w:szCs w:val="24"/>
        </w:rPr>
        <w:t>df</w:t>
      </w:r>
      <w:proofErr w:type="spellEnd"/>
      <w:r w:rsidRPr="009335B6">
        <w:rPr>
          <w:rFonts w:ascii="Times New Roman" w:hAnsi="Times New Roman" w:cs="Times New Roman"/>
          <w:sz w:val="24"/>
          <w:szCs w:val="24"/>
        </w:rPr>
        <w:t xml:space="preserve"> = n - 1, being non-significant if the calculated value is less than the critical value. </w:t>
      </w:r>
    </w:p>
    <w:p w14:paraId="7B9E21B5" w14:textId="77777777" w:rsidR="009335B6" w:rsidRPr="009335B6" w:rsidRDefault="009335B6" w:rsidP="009335B6">
      <w:pPr>
        <w:rPr>
          <w:rFonts w:ascii="Times New Roman" w:hAnsi="Times New Roman" w:cs="Times New Roman"/>
          <w:sz w:val="24"/>
          <w:szCs w:val="24"/>
        </w:rPr>
      </w:pPr>
    </w:p>
    <w:p w14:paraId="7C8008CC" w14:textId="20DFB463" w:rsidR="009335B6" w:rsidRPr="009335B6" w:rsidRDefault="009335B6" w:rsidP="009335B6">
      <w:pPr>
        <w:rPr>
          <w:rFonts w:ascii="Times New Roman" w:hAnsi="Times New Roman" w:cs="Times New Roman"/>
          <w:sz w:val="24"/>
          <w:szCs w:val="24"/>
        </w:rPr>
      </w:pPr>
      <m:oMath>
        <m:r>
          <w:rPr>
            <w:rFonts w:ascii="Cambria Math" w:hAnsi="Cambria Math" w:cs="Times New Roman"/>
            <w:sz w:val="24"/>
            <w:szCs w:val="24"/>
          </w:rPr>
          <m:t>Bias=</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undOvr"/>
            <m:subHide m:val="1"/>
            <m:supHide m:val="1"/>
            <m:ctrlPr>
              <w:rPr>
                <w:rFonts w:ascii="Cambria Math" w:hAnsi="Cambria Math" w:cs="Times New Roman"/>
                <w:i/>
                <w:sz w:val="24"/>
                <w:szCs w:val="24"/>
              </w:rPr>
            </m:ctrlPr>
          </m:naryPr>
          <m:sub/>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REFL,j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SPEC,j</m:t>
                    </m:r>
                  </m:sub>
                </m:sSub>
              </m:e>
            </m:d>
          </m:e>
        </m:nary>
      </m:oMath>
      <w:r w:rsidRPr="009335B6">
        <w:rPr>
          <w:rFonts w:ascii="Times New Roman" w:hAnsi="Times New Roman" w:cs="Times New Roman"/>
          <w:sz w:val="24"/>
          <w:szCs w:val="24"/>
        </w:rPr>
        <w:t xml:space="preserve"> </w:t>
      </w:r>
      <w:r w:rsidRPr="009335B6">
        <w:rPr>
          <w:rFonts w:ascii="Times New Roman" w:hAnsi="Times New Roman" w:cs="Times New Roman"/>
          <w:sz w:val="24"/>
          <w:szCs w:val="24"/>
        </w:rPr>
        <w:tab/>
        <w:t>eq. 5</w:t>
      </w:r>
    </w:p>
    <w:p w14:paraId="56DE779D" w14:textId="77777777" w:rsidR="009335B6" w:rsidRPr="009335B6" w:rsidRDefault="009335B6" w:rsidP="009335B6">
      <w:pPr>
        <w:rPr>
          <w:rFonts w:ascii="Times New Roman" w:hAnsi="Times New Roman" w:cs="Times New Roman"/>
          <w:sz w:val="24"/>
          <w:szCs w:val="24"/>
        </w:rPr>
      </w:pPr>
    </w:p>
    <w:p w14:paraId="2F9FA577" w14:textId="176E3B32" w:rsidR="009335B6" w:rsidRPr="009335B6" w:rsidRDefault="009335B6" w:rsidP="009335B6">
      <w:pPr>
        <w:rPr>
          <w:rFonts w:ascii="Times New Roman" w:hAnsi="Times New Roman" w:cs="Times New Roman"/>
          <w:sz w:val="24"/>
          <w:szCs w:val="24"/>
        </w:rPr>
      </w:pPr>
      <m:oMath>
        <m:r>
          <w:rPr>
            <w:rFonts w:ascii="Cambria Math" w:hAnsi="Cambria Math" w:cs="Times New Roman"/>
            <w:sz w:val="24"/>
            <w:szCs w:val="24"/>
          </w:rPr>
          <m:t>u</m:t>
        </m:r>
        <m:d>
          <m:dPr>
            <m:ctrlPr>
              <w:rPr>
                <w:rFonts w:ascii="Cambria Math" w:hAnsi="Cambria Math" w:cs="Times New Roman"/>
                <w:sz w:val="24"/>
                <w:szCs w:val="24"/>
              </w:rPr>
            </m:ctrlPr>
          </m:dPr>
          <m:e>
            <m:r>
              <w:rPr>
                <w:rFonts w:ascii="Cambria Math" w:hAnsi="Cambria Math" w:cs="Times New Roman"/>
                <w:sz w:val="24"/>
                <w:szCs w:val="24"/>
              </w:rPr>
              <m:t>Bias</m:t>
            </m:r>
          </m:e>
        </m:d>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d</m:t>
                </m:r>
              </m:sub>
            </m:sSub>
          </m:num>
          <m:den>
            <m:rad>
              <m:radPr>
                <m:degHide m:val="1"/>
                <m:ctrlPr>
                  <w:rPr>
                    <w:rFonts w:ascii="Cambria Math" w:hAnsi="Cambria Math" w:cs="Times New Roman"/>
                    <w:sz w:val="24"/>
                    <w:szCs w:val="24"/>
                  </w:rPr>
                </m:ctrlPr>
              </m:radPr>
              <m:deg/>
              <m:e>
                <m:r>
                  <w:rPr>
                    <w:rFonts w:ascii="Cambria Math" w:hAnsi="Cambria Math" w:cs="Times New Roman"/>
                    <w:sz w:val="24"/>
                    <w:szCs w:val="24"/>
                  </w:rPr>
                  <m:t>n</m:t>
                </m:r>
              </m:e>
            </m:rad>
          </m:den>
        </m:f>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d</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d</m:t>
                                </m:r>
                              </m:e>
                            </m:acc>
                          </m:e>
                        </m:d>
                      </m:e>
                      <m:sup>
                        <m:r>
                          <w:rPr>
                            <w:rFonts w:ascii="Cambria Math" w:hAnsi="Cambria Math" w:cs="Times New Roman"/>
                            <w:sz w:val="24"/>
                            <w:szCs w:val="24"/>
                          </w:rPr>
                          <m:t>2</m:t>
                        </m:r>
                      </m:sup>
                    </m:sSup>
                  </m:e>
                </m:nary>
              </m:num>
              <m:den>
                <m:r>
                  <w:rPr>
                    <w:rFonts w:ascii="Cambria Math" w:hAnsi="Cambria Math" w:cs="Times New Roman"/>
                    <w:sz w:val="24"/>
                    <w:szCs w:val="24"/>
                  </w:rPr>
                  <m:t>n-1</m:t>
                </m:r>
              </m:den>
            </m:f>
          </m:e>
        </m:rad>
        <m:r>
          <w:rPr>
            <w:rFonts w:ascii="Cambria Math" w:hAnsi="Cambria Math" w:cs="Times New Roman"/>
            <w:sz w:val="24"/>
            <w:szCs w:val="24"/>
          </w:rPr>
          <m:t xml:space="preserve">  </m:t>
        </m:r>
      </m:oMath>
      <w:r w:rsidRPr="009335B6">
        <w:rPr>
          <w:rFonts w:ascii="Times New Roman" w:hAnsi="Times New Roman" w:cs="Times New Roman"/>
          <w:i/>
          <w:iCs/>
          <w:sz w:val="24"/>
          <w:szCs w:val="24"/>
        </w:rPr>
        <w:t xml:space="preserve">    </w:t>
      </w:r>
      <w:r w:rsidRPr="009335B6">
        <w:rPr>
          <w:rFonts w:ascii="Times New Roman" w:hAnsi="Times New Roman" w:cs="Times New Roman"/>
          <w:sz w:val="24"/>
          <w:szCs w:val="24"/>
        </w:rPr>
        <w:t>eq. 6</w:t>
      </w:r>
    </w:p>
    <w:p w14:paraId="1A9BA17F" w14:textId="77777777" w:rsidR="009335B6" w:rsidRPr="009335B6" w:rsidRDefault="009335B6" w:rsidP="009335B6">
      <w:pPr>
        <w:rPr>
          <w:rFonts w:ascii="Times New Roman" w:hAnsi="Times New Roman" w:cs="Times New Roman"/>
          <w:sz w:val="24"/>
          <w:szCs w:val="24"/>
        </w:rPr>
      </w:pPr>
    </w:p>
    <w:p w14:paraId="5F8F41C1" w14:textId="03AF7FCE" w:rsidR="009335B6" w:rsidRPr="009335B6" w:rsidRDefault="009335B6" w:rsidP="009335B6">
      <w:pPr>
        <w:rPr>
          <w:rFonts w:ascii="Times New Roman" w:hAnsi="Times New Roman" w:cs="Times New Roman"/>
          <w:sz w:val="24"/>
          <w:szCs w:val="24"/>
        </w:rPr>
      </w:pPr>
      <m:oMath>
        <m:r>
          <w:rPr>
            <w:rFonts w:ascii="Cambria Math" w:hAnsi="Cambria Math" w:cs="Times New Roman"/>
            <w:sz w:val="24"/>
            <w:szCs w:val="24"/>
          </w:rPr>
          <m:t>t=</m:t>
        </m:r>
        <m:f>
          <m:fPr>
            <m:ctrlPr>
              <w:rPr>
                <w:rFonts w:ascii="Cambria Math" w:hAnsi="Cambria Math" w:cs="Times New Roman"/>
                <w:sz w:val="24"/>
                <w:szCs w:val="24"/>
              </w:rPr>
            </m:ctrlPr>
          </m:fPr>
          <m:num>
            <m:d>
              <m:dPr>
                <m:begChr m:val="|"/>
                <m:endChr m:val="|"/>
                <m:ctrlPr>
                  <w:rPr>
                    <w:rFonts w:ascii="Cambria Math" w:hAnsi="Cambria Math" w:cs="Times New Roman"/>
                    <w:sz w:val="24"/>
                    <w:szCs w:val="24"/>
                  </w:rPr>
                </m:ctrlPr>
              </m:dPr>
              <m:e>
                <m:r>
                  <w:rPr>
                    <w:rFonts w:ascii="Cambria Math" w:hAnsi="Cambria Math" w:cs="Times New Roman"/>
                    <w:sz w:val="24"/>
                    <w:szCs w:val="24"/>
                  </w:rPr>
                  <m:t>Bias</m:t>
                </m:r>
              </m:e>
            </m:d>
          </m:num>
          <m:den>
            <m:r>
              <w:rPr>
                <w:rFonts w:ascii="Cambria Math" w:hAnsi="Cambria Math" w:cs="Times New Roman"/>
                <w:sz w:val="24"/>
                <w:szCs w:val="24"/>
              </w:rPr>
              <m:t>u</m:t>
            </m:r>
            <m:d>
              <m:dPr>
                <m:ctrlPr>
                  <w:rPr>
                    <w:rFonts w:ascii="Cambria Math" w:hAnsi="Cambria Math" w:cs="Times New Roman"/>
                    <w:sz w:val="24"/>
                    <w:szCs w:val="24"/>
                  </w:rPr>
                </m:ctrlPr>
              </m:dPr>
              <m:e>
                <m:r>
                  <w:rPr>
                    <w:rFonts w:ascii="Cambria Math" w:hAnsi="Cambria Math" w:cs="Times New Roman"/>
                    <w:sz w:val="24"/>
                    <w:szCs w:val="24"/>
                  </w:rPr>
                  <m:t>Bias</m:t>
                </m:r>
              </m:e>
            </m:d>
          </m:den>
        </m:f>
      </m:oMath>
      <w:r w:rsidRPr="009335B6">
        <w:rPr>
          <w:rFonts w:ascii="Times New Roman" w:hAnsi="Times New Roman" w:cs="Times New Roman"/>
          <w:sz w:val="24"/>
          <w:szCs w:val="24"/>
        </w:rPr>
        <w:t xml:space="preserve"> </w:t>
      </w:r>
      <w:r w:rsidRPr="009335B6">
        <w:rPr>
          <w:rFonts w:ascii="Times New Roman" w:hAnsi="Times New Roman" w:cs="Times New Roman"/>
          <w:sz w:val="24"/>
          <w:szCs w:val="24"/>
        </w:rPr>
        <w:tab/>
      </w:r>
      <w:r w:rsidRPr="009335B6">
        <w:rPr>
          <w:rFonts w:ascii="Times New Roman" w:hAnsi="Times New Roman" w:cs="Times New Roman"/>
          <w:sz w:val="24"/>
          <w:szCs w:val="24"/>
        </w:rPr>
        <w:tab/>
        <w:t>eq. 7</w:t>
      </w:r>
    </w:p>
    <w:p w14:paraId="15DA60EF" w14:textId="77777777" w:rsidR="009335B6" w:rsidRPr="009335B6" w:rsidRDefault="009335B6" w:rsidP="009335B6">
      <w:pPr>
        <w:rPr>
          <w:rFonts w:ascii="Times New Roman" w:hAnsi="Times New Roman" w:cs="Times New Roman"/>
          <w:sz w:val="24"/>
          <w:szCs w:val="24"/>
        </w:rPr>
      </w:pPr>
    </w:p>
    <w:p w14:paraId="75C55FC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Combined uncertainty</w:t>
      </w:r>
    </w:p>
    <w:p w14:paraId="2FF93768"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 xml:space="preserve">The combined robust uncertainty was estimated by integrating the bias uncertainty and a robust estimator of variability based on the median absolute deviation [Eq. 8], and the expanded uncertainty was obtained by applying a coverage factor [Eq. 9]; a relative uncertainty less than 10% in high ranges and 20% near the LOD is considered acceptable, according to EURACHEM (Cantwell, 2024). </w:t>
      </w:r>
    </w:p>
    <w:p w14:paraId="06CF550B" w14:textId="77777777" w:rsidR="009335B6" w:rsidRPr="009335B6" w:rsidRDefault="009335B6" w:rsidP="009335B6">
      <w:pPr>
        <w:rPr>
          <w:rFonts w:ascii="Times New Roman" w:hAnsi="Times New Roman" w:cs="Times New Roman"/>
          <w:sz w:val="24"/>
          <w:szCs w:val="24"/>
        </w:rPr>
      </w:pPr>
    </w:p>
    <w:p w14:paraId="5AFE4CAE" w14:textId="6BA313F1" w:rsidR="009335B6" w:rsidRPr="009335B6" w:rsidRDefault="009335B6" w:rsidP="009335B6">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c</m:t>
            </m:r>
          </m:sub>
        </m:sSub>
        <m:r>
          <w:rPr>
            <w:rFonts w:ascii="Cambria Math"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u</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Bias</m:t>
                    </m:r>
                  </m:e>
                </m:d>
              </m:e>
              <m:sup>
                <m:r>
                  <w:rPr>
                    <w:rFonts w:ascii="Cambria Math" w:hAnsi="Cambria Math" w:cs="Times New Roman"/>
                    <w:sz w:val="24"/>
                    <w:szCs w:val="24"/>
                  </w:rPr>
                  <m:t>2</m:t>
                </m:r>
              </m:sup>
            </m:s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robust</m:t>
                </m:r>
              </m:sub>
              <m:sup>
                <m:r>
                  <w:rPr>
                    <w:rFonts w:ascii="Cambria Math" w:hAnsi="Cambria Math" w:cs="Times New Roman"/>
                    <w:sz w:val="24"/>
                    <w:szCs w:val="24"/>
                  </w:rPr>
                  <m:t>2</m:t>
                </m:r>
              </m:sup>
            </m:sSubSup>
          </m:e>
        </m:rad>
      </m:oMath>
      <w:r w:rsidRPr="009335B6">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robust</m:t>
            </m:r>
          </m:sub>
        </m:sSub>
        <m:r>
          <w:rPr>
            <w:rFonts w:ascii="Cambria Math" w:hAnsi="Cambria Math" w:cs="Times New Roman"/>
            <w:sz w:val="24"/>
            <w:szCs w:val="24"/>
          </w:rPr>
          <m:t xml:space="preserve">=1.4826 ×median </m:t>
        </m:r>
        <m:d>
          <m:dPr>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r>
                  <w:rPr>
                    <w:rFonts w:ascii="Cambria Math" w:hAnsi="Cambria Math" w:cs="Times New Roman"/>
                    <w:sz w:val="24"/>
                    <w:szCs w:val="24"/>
                  </w:rPr>
                  <m:t>-median</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e>
                </m:d>
              </m:e>
            </m:d>
          </m:e>
        </m:d>
      </m:oMath>
      <w:r w:rsidRPr="009335B6">
        <w:rPr>
          <w:rFonts w:ascii="Times New Roman" w:hAnsi="Times New Roman" w:cs="Times New Roman"/>
          <w:sz w:val="24"/>
          <w:szCs w:val="24"/>
        </w:rPr>
        <w:tab/>
      </w:r>
      <w:r w:rsidRPr="009335B6">
        <w:rPr>
          <w:rFonts w:ascii="Times New Roman" w:hAnsi="Times New Roman" w:cs="Times New Roman"/>
          <w:sz w:val="24"/>
          <w:szCs w:val="24"/>
        </w:rPr>
        <w:tab/>
        <w:t>eq. 8</w:t>
      </w:r>
    </w:p>
    <w:p w14:paraId="68D08633" w14:textId="77777777" w:rsidR="009335B6" w:rsidRPr="009335B6" w:rsidRDefault="009335B6" w:rsidP="009335B6">
      <w:pPr>
        <w:rPr>
          <w:rFonts w:ascii="Times New Roman" w:hAnsi="Times New Roman" w:cs="Times New Roman"/>
          <w:sz w:val="24"/>
          <w:szCs w:val="24"/>
        </w:rPr>
      </w:pPr>
    </w:p>
    <w:p w14:paraId="22B94E50" w14:textId="42BECC61" w:rsidR="009335B6" w:rsidRPr="009335B6" w:rsidRDefault="009335B6" w:rsidP="009335B6">
      <w:pPr>
        <w:rPr>
          <w:rFonts w:ascii="Times New Roman" w:hAnsi="Times New Roman" w:cs="Times New Roman"/>
          <w:sz w:val="24"/>
          <w:szCs w:val="24"/>
        </w:rPr>
      </w:pPr>
      <m:oMath>
        <m:r>
          <w:rPr>
            <w:rFonts w:ascii="Cambria Math" w:hAnsi="Cambria Math" w:cs="Times New Roman"/>
            <w:sz w:val="24"/>
            <w:szCs w:val="24"/>
          </w:rPr>
          <m:t>U=2</m:t>
        </m:r>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c</m:t>
            </m:r>
          </m:sub>
        </m:sSub>
      </m:oMath>
      <w:r w:rsidRPr="009335B6">
        <w:rPr>
          <w:rFonts w:ascii="Times New Roman" w:hAnsi="Times New Roman" w:cs="Times New Roman"/>
          <w:sz w:val="24"/>
          <w:szCs w:val="24"/>
        </w:rPr>
        <w:tab/>
        <w:t>eq. 9</w:t>
      </w:r>
    </w:p>
    <w:p w14:paraId="39FE093D" w14:textId="77777777" w:rsidR="009335B6" w:rsidRPr="009335B6" w:rsidRDefault="009335B6" w:rsidP="009335B6">
      <w:pPr>
        <w:rPr>
          <w:rFonts w:ascii="Times New Roman" w:hAnsi="Times New Roman" w:cs="Times New Roman"/>
          <w:sz w:val="24"/>
          <w:szCs w:val="24"/>
        </w:rPr>
      </w:pPr>
    </w:p>
    <w:p w14:paraId="3DA21768" w14:textId="77777777" w:rsidR="009335B6" w:rsidRDefault="009335B6" w:rsidP="009335B6">
      <w:pPr>
        <w:rPr>
          <w:rFonts w:ascii="Times New Roman" w:hAnsi="Times New Roman" w:cs="Times New Roman"/>
          <w:b/>
          <w:bCs/>
          <w:sz w:val="24"/>
          <w:szCs w:val="24"/>
        </w:rPr>
      </w:pPr>
    </w:p>
    <w:p w14:paraId="61B52926" w14:textId="7BF9EA65"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lastRenderedPageBreak/>
        <w:t>Limit of Detection (LOD)</w:t>
      </w:r>
    </w:p>
    <w:p w14:paraId="7DF8754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 xml:space="preserve">The LOD of REFL was determined through two approaches: the minimum detectable concentration (threshold of "LOW" at 0.033 mg/L) and the linear regression of the averages against the reference concentrations, calculating the slope, the intercept, and the residual standard deviation [Eq. 10], and the LOD [Eq. 11], considering an acceptable LOD below the regulatory limit for the analyte (e.g., &lt;0.05 mg/L for phosphate in drinking water). All calculations were performed in R, organizing the triplicates into lists, computing averages, applying the statistical equations, and verifying significance using </w:t>
      </w:r>
      <w:proofErr w:type="gramStart"/>
      <w:r w:rsidRPr="009335B6">
        <w:rPr>
          <w:rFonts w:ascii="Times New Roman" w:hAnsi="Times New Roman" w:cs="Times New Roman"/>
          <w:sz w:val="24"/>
          <w:szCs w:val="24"/>
        </w:rPr>
        <w:t>Student's t</w:t>
      </w:r>
      <w:proofErr w:type="gramEnd"/>
      <w:r w:rsidRPr="009335B6">
        <w:rPr>
          <w:rFonts w:ascii="Times New Roman" w:hAnsi="Times New Roman" w:cs="Times New Roman"/>
          <w:sz w:val="24"/>
          <w:szCs w:val="24"/>
        </w:rPr>
        <w:t>-tables.</w:t>
      </w:r>
    </w:p>
    <w:p w14:paraId="3FB87398" w14:textId="77777777" w:rsidR="009335B6" w:rsidRPr="009335B6" w:rsidRDefault="009335B6" w:rsidP="009335B6">
      <w:pPr>
        <w:rPr>
          <w:rFonts w:ascii="Times New Roman" w:hAnsi="Times New Roman" w:cs="Times New Roman"/>
          <w:sz w:val="24"/>
          <w:szCs w:val="24"/>
        </w:rPr>
      </w:pPr>
    </w:p>
    <w:p w14:paraId="223774A6" w14:textId="63409364" w:rsidR="009335B6" w:rsidRPr="009335B6" w:rsidRDefault="009335B6" w:rsidP="009335B6">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y</m:t>
            </m:r>
          </m:sub>
        </m:sSub>
        <m:r>
          <w:rPr>
            <w:rFonts w:ascii="Cambria Math" w:hAnsi="Cambria Math" w:cs="Times New Roman"/>
            <w:sz w:val="24"/>
            <w:szCs w:val="24"/>
          </w:rPr>
          <m:t>=</m:t>
        </m:r>
        <m:rad>
          <m:radPr>
            <m:degHide m:val="1"/>
            <m:ctrlPr>
              <w:rPr>
                <w:rFonts w:ascii="Cambria Math" w:hAnsi="Cambria Math" w:cs="Times New Roman"/>
                <w:sz w:val="24"/>
                <w:szCs w:val="24"/>
              </w:rPr>
            </m:ctrlPr>
          </m:radPr>
          <m:deg/>
          <m:e>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+a</m:t>
                                </m:r>
                              </m:e>
                            </m:d>
                          </m:e>
                        </m:d>
                      </m:e>
                      <m:sup>
                        <m:r>
                          <w:rPr>
                            <w:rFonts w:ascii="Cambria Math" w:hAnsi="Cambria Math" w:cs="Times New Roman"/>
                            <w:sz w:val="24"/>
                            <w:szCs w:val="24"/>
                          </w:rPr>
                          <m:t>2</m:t>
                        </m:r>
                      </m:sup>
                    </m:sSup>
                  </m:e>
                </m:nary>
              </m:num>
              <m:den>
                <m:r>
                  <w:rPr>
                    <w:rFonts w:ascii="Cambria Math" w:hAnsi="Cambria Math" w:cs="Times New Roman"/>
                    <w:sz w:val="24"/>
                    <w:szCs w:val="24"/>
                  </w:rPr>
                  <m:t>n-2</m:t>
                </m:r>
              </m:den>
            </m:f>
          </m:e>
        </m:rad>
      </m:oMath>
      <w:r w:rsidRPr="009335B6">
        <w:rPr>
          <w:rFonts w:ascii="Times New Roman" w:hAnsi="Times New Roman" w:cs="Times New Roman"/>
          <w:sz w:val="24"/>
          <w:szCs w:val="24"/>
        </w:rPr>
        <w:t xml:space="preserve">  </w:t>
      </w:r>
      <w:r w:rsidRPr="009335B6">
        <w:rPr>
          <w:rFonts w:ascii="Times New Roman" w:hAnsi="Times New Roman" w:cs="Times New Roman"/>
          <w:sz w:val="24"/>
          <w:szCs w:val="24"/>
        </w:rPr>
        <w:tab/>
        <w:t>eq. 10</w:t>
      </w:r>
    </w:p>
    <w:p w14:paraId="4482C365" w14:textId="77777777" w:rsidR="009335B6" w:rsidRPr="009335B6" w:rsidRDefault="009335B6" w:rsidP="009335B6">
      <w:pPr>
        <w:rPr>
          <w:rFonts w:ascii="Times New Roman" w:hAnsi="Times New Roman" w:cs="Times New Roman"/>
          <w:sz w:val="24"/>
          <w:szCs w:val="24"/>
        </w:rPr>
      </w:pPr>
    </w:p>
    <w:p w14:paraId="678ED148" w14:textId="0D5C8FC4" w:rsidR="009335B6" w:rsidRPr="009335B6" w:rsidRDefault="009335B6" w:rsidP="009335B6">
      <w:pPr>
        <w:rPr>
          <w:rFonts w:ascii="Times New Roman" w:hAnsi="Times New Roman" w:cs="Times New Roman"/>
          <w:sz w:val="24"/>
          <w:szCs w:val="24"/>
        </w:rPr>
      </w:pPr>
      <m:oMath>
        <m:r>
          <w:rPr>
            <w:rFonts w:ascii="Cambria Math" w:hAnsi="Cambria Math" w:cs="Times New Roman"/>
            <w:sz w:val="24"/>
            <w:szCs w:val="24"/>
          </w:rPr>
          <m:t>LOD=</m:t>
        </m:r>
        <m:f>
          <m:fPr>
            <m:ctrlPr>
              <w:rPr>
                <w:rFonts w:ascii="Cambria Math" w:hAnsi="Cambria Math" w:cs="Times New Roman"/>
                <w:sz w:val="24"/>
                <w:szCs w:val="24"/>
              </w:rPr>
            </m:ctrlPr>
          </m:fPr>
          <m:num>
            <m:r>
              <w:rPr>
                <w:rFonts w:ascii="Cambria Math" w:hAnsi="Cambria Math" w:cs="Times New Roman"/>
                <w:sz w:val="24"/>
                <w:szCs w:val="24"/>
              </w:rPr>
              <m:t xml:space="preserve">3.3 </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y</m:t>
                </m:r>
              </m:sub>
            </m:sSub>
            <m:r>
              <w:rPr>
                <w:rFonts w:ascii="Cambria Math" w:hAnsi="Cambria Math" w:cs="Times New Roman"/>
                <w:sz w:val="24"/>
                <w:szCs w:val="24"/>
              </w:rPr>
              <m:t xml:space="preserve"> </m:t>
            </m:r>
          </m:num>
          <m:den>
            <m:r>
              <w:rPr>
                <w:rFonts w:ascii="Cambria Math" w:hAnsi="Cambria Math" w:cs="Times New Roman"/>
                <w:sz w:val="24"/>
                <w:szCs w:val="24"/>
              </w:rPr>
              <m:t>b</m:t>
            </m:r>
          </m:den>
        </m:f>
      </m:oMath>
      <w:r w:rsidRPr="009335B6">
        <w:rPr>
          <w:rFonts w:ascii="Times New Roman" w:hAnsi="Times New Roman" w:cs="Times New Roman"/>
          <w:sz w:val="24"/>
          <w:szCs w:val="24"/>
        </w:rPr>
        <w:t xml:space="preserve">  </w:t>
      </w:r>
      <w:r w:rsidRPr="009335B6">
        <w:rPr>
          <w:rFonts w:ascii="Times New Roman" w:hAnsi="Times New Roman" w:cs="Times New Roman"/>
          <w:sz w:val="24"/>
          <w:szCs w:val="24"/>
        </w:rPr>
        <w:tab/>
        <w:t>eq. 11</w:t>
      </w:r>
    </w:p>
    <w:p w14:paraId="6CFF9DF5" w14:textId="77777777" w:rsidR="009335B6" w:rsidRPr="009335B6" w:rsidRDefault="009335B6" w:rsidP="009335B6">
      <w:pPr>
        <w:rPr>
          <w:b/>
          <w:bCs/>
        </w:rPr>
      </w:pPr>
      <w:r w:rsidRPr="009335B6">
        <w:br w:type="page"/>
      </w:r>
    </w:p>
    <w:p w14:paraId="255BA1F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lastRenderedPageBreak/>
        <w:t>S2. Tables</w:t>
      </w:r>
    </w:p>
    <w:p w14:paraId="4760374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Table S1. Phosphorus concentration in water expressed in (10</w:t>
      </w:r>
      <w:r w:rsidRPr="009335B6">
        <w:rPr>
          <w:rFonts w:ascii="Times New Roman" w:hAnsi="Times New Roman" w:cs="Times New Roman"/>
          <w:b/>
          <w:bCs/>
          <w:sz w:val="24"/>
          <w:szCs w:val="24"/>
          <w:vertAlign w:val="superscript"/>
        </w:rPr>
        <w:t>⁻3</w:t>
      </w:r>
      <w:r w:rsidRPr="009335B6">
        <w:rPr>
          <w:rFonts w:ascii="Times New Roman" w:hAnsi="Times New Roman" w:cs="Times New Roman"/>
          <w:b/>
          <w:bCs/>
          <w:sz w:val="24"/>
          <w:szCs w:val="24"/>
        </w:rPr>
        <w:t xml:space="preserve"> mg PO₄–P L</w:t>
      </w:r>
      <w:r w:rsidRPr="009335B6">
        <w:rPr>
          <w:rFonts w:ascii="Times New Roman" w:hAnsi="Times New Roman" w:cs="Times New Roman"/>
          <w:b/>
          <w:bCs/>
          <w:sz w:val="24"/>
          <w:szCs w:val="24"/>
          <w:vertAlign w:val="superscript"/>
        </w:rPr>
        <w:t>-1</w:t>
      </w:r>
      <w:r w:rsidRPr="009335B6">
        <w:rPr>
          <w:rFonts w:ascii="Times New Roman" w:hAnsi="Times New Roman" w:cs="Times New Roman"/>
          <w:b/>
          <w:bCs/>
          <w:sz w:val="24"/>
          <w:szCs w:val="24"/>
        </w:rPr>
        <w:t>) for some cases of Uruguay (Post-1980).</w:t>
      </w:r>
    </w:p>
    <w:tbl>
      <w:tblPr>
        <w:tblW w:w="12127" w:type="dxa"/>
        <w:tblInd w:w="-78" w:type="dxa"/>
        <w:tblLayout w:type="fixed"/>
        <w:tblLook w:val="04A0" w:firstRow="1" w:lastRow="0" w:firstColumn="1" w:lastColumn="0" w:noHBand="0" w:noVBand="1"/>
      </w:tblPr>
      <w:tblGrid>
        <w:gridCol w:w="2385"/>
        <w:gridCol w:w="2776"/>
        <w:gridCol w:w="1484"/>
        <w:gridCol w:w="1635"/>
        <w:gridCol w:w="1545"/>
        <w:gridCol w:w="1036"/>
        <w:gridCol w:w="1266"/>
      </w:tblGrid>
      <w:tr w:rsidR="009335B6" w:rsidRPr="009335B6" w14:paraId="1E8FE7C1" w14:textId="77777777" w:rsidTr="009335B6">
        <w:trPr>
          <w:tblHeader/>
        </w:trPr>
        <w:tc>
          <w:tcPr>
            <w:tcW w:w="2385" w:type="dxa"/>
            <w:tcBorders>
              <w:top w:val="single" w:sz="4" w:space="0" w:color="000000"/>
              <w:left w:val="nil"/>
              <w:bottom w:val="single" w:sz="4" w:space="0" w:color="auto"/>
              <w:right w:val="nil"/>
            </w:tcBorders>
            <w:vAlign w:val="bottom"/>
            <w:hideMark/>
          </w:tcPr>
          <w:p w14:paraId="51345B8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Water Body</w:t>
            </w:r>
          </w:p>
        </w:tc>
        <w:tc>
          <w:tcPr>
            <w:tcW w:w="2776" w:type="dxa"/>
            <w:tcBorders>
              <w:top w:val="single" w:sz="4" w:space="0" w:color="000000"/>
              <w:left w:val="nil"/>
              <w:bottom w:val="single" w:sz="4" w:space="0" w:color="auto"/>
              <w:right w:val="nil"/>
            </w:tcBorders>
            <w:vAlign w:val="bottom"/>
            <w:hideMark/>
          </w:tcPr>
          <w:p w14:paraId="60A83C9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TP</w:t>
            </w:r>
          </w:p>
        </w:tc>
        <w:tc>
          <w:tcPr>
            <w:tcW w:w="1484" w:type="dxa"/>
            <w:tcBorders>
              <w:top w:val="single" w:sz="4" w:space="0" w:color="000000"/>
              <w:left w:val="nil"/>
              <w:bottom w:val="single" w:sz="4" w:space="0" w:color="auto"/>
              <w:right w:val="nil"/>
            </w:tcBorders>
            <w:vAlign w:val="bottom"/>
            <w:hideMark/>
          </w:tcPr>
          <w:p w14:paraId="3129FC1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SRP</w:t>
            </w:r>
          </w:p>
        </w:tc>
        <w:tc>
          <w:tcPr>
            <w:tcW w:w="1635" w:type="dxa"/>
            <w:tcBorders>
              <w:top w:val="single" w:sz="4" w:space="0" w:color="000000"/>
              <w:left w:val="nil"/>
              <w:bottom w:val="single" w:sz="4" w:space="0" w:color="auto"/>
              <w:right w:val="nil"/>
            </w:tcBorders>
            <w:vAlign w:val="bottom"/>
            <w:hideMark/>
          </w:tcPr>
          <w:p w14:paraId="32B9133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SRP/TP (%)</w:t>
            </w:r>
          </w:p>
        </w:tc>
        <w:tc>
          <w:tcPr>
            <w:tcW w:w="1545" w:type="dxa"/>
            <w:tcBorders>
              <w:top w:val="single" w:sz="4" w:space="0" w:color="000000"/>
              <w:left w:val="nil"/>
              <w:bottom w:val="single" w:sz="4" w:space="0" w:color="auto"/>
              <w:right w:val="nil"/>
            </w:tcBorders>
            <w:vAlign w:val="bottom"/>
            <w:hideMark/>
          </w:tcPr>
          <w:p w14:paraId="0123E1E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Department</w:t>
            </w:r>
          </w:p>
        </w:tc>
        <w:tc>
          <w:tcPr>
            <w:tcW w:w="1036" w:type="dxa"/>
            <w:tcBorders>
              <w:top w:val="single" w:sz="4" w:space="0" w:color="000000"/>
              <w:left w:val="nil"/>
              <w:bottom w:val="single" w:sz="4" w:space="0" w:color="auto"/>
              <w:right w:val="nil"/>
            </w:tcBorders>
            <w:vAlign w:val="bottom"/>
            <w:hideMark/>
          </w:tcPr>
          <w:p w14:paraId="589F27F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Year(s)</w:t>
            </w:r>
          </w:p>
        </w:tc>
        <w:tc>
          <w:tcPr>
            <w:tcW w:w="1266" w:type="dxa"/>
            <w:tcBorders>
              <w:top w:val="single" w:sz="4" w:space="0" w:color="000000"/>
              <w:left w:val="nil"/>
              <w:bottom w:val="single" w:sz="4" w:space="0" w:color="auto"/>
              <w:right w:val="nil"/>
            </w:tcBorders>
            <w:vAlign w:val="bottom"/>
            <w:hideMark/>
          </w:tcPr>
          <w:p w14:paraId="6CCD645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References</w:t>
            </w:r>
          </w:p>
        </w:tc>
      </w:tr>
      <w:tr w:rsidR="009335B6" w:rsidRPr="009335B6" w14:paraId="6DA96773" w14:textId="77777777" w:rsidTr="009335B6">
        <w:tc>
          <w:tcPr>
            <w:tcW w:w="2385" w:type="dxa"/>
            <w:tcBorders>
              <w:top w:val="single" w:sz="4" w:space="0" w:color="auto"/>
              <w:left w:val="nil"/>
              <w:bottom w:val="single" w:sz="4" w:space="0" w:color="auto"/>
              <w:right w:val="nil"/>
            </w:tcBorders>
            <w:hideMark/>
          </w:tcPr>
          <w:p w14:paraId="11BA91C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Río Santa Lucía rivers</w:t>
            </w:r>
          </w:p>
        </w:tc>
        <w:tc>
          <w:tcPr>
            <w:tcW w:w="2776" w:type="dxa"/>
            <w:tcBorders>
              <w:top w:val="single" w:sz="4" w:space="0" w:color="auto"/>
              <w:left w:val="nil"/>
              <w:bottom w:val="single" w:sz="4" w:space="0" w:color="auto"/>
              <w:right w:val="nil"/>
            </w:tcBorders>
            <w:hideMark/>
          </w:tcPr>
          <w:p w14:paraId="3D77881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0.050 - 0.180</w:t>
            </w:r>
          </w:p>
        </w:tc>
        <w:tc>
          <w:tcPr>
            <w:tcW w:w="1484" w:type="dxa"/>
            <w:tcBorders>
              <w:top w:val="single" w:sz="4" w:space="0" w:color="auto"/>
              <w:left w:val="nil"/>
              <w:bottom w:val="single" w:sz="4" w:space="0" w:color="auto"/>
              <w:right w:val="nil"/>
            </w:tcBorders>
            <w:hideMark/>
          </w:tcPr>
          <w:p w14:paraId="2DAD8DF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0.020 - 0.080</w:t>
            </w:r>
          </w:p>
        </w:tc>
        <w:tc>
          <w:tcPr>
            <w:tcW w:w="1635" w:type="dxa"/>
            <w:tcBorders>
              <w:top w:val="single" w:sz="4" w:space="0" w:color="auto"/>
              <w:left w:val="nil"/>
              <w:bottom w:val="single" w:sz="4" w:space="0" w:color="auto"/>
              <w:right w:val="nil"/>
            </w:tcBorders>
            <w:hideMark/>
          </w:tcPr>
          <w:p w14:paraId="762AFC0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~76%</w:t>
            </w:r>
          </w:p>
        </w:tc>
        <w:tc>
          <w:tcPr>
            <w:tcW w:w="1545" w:type="dxa"/>
            <w:tcBorders>
              <w:top w:val="single" w:sz="4" w:space="0" w:color="auto"/>
              <w:left w:val="nil"/>
              <w:bottom w:val="single" w:sz="4" w:space="0" w:color="auto"/>
              <w:right w:val="nil"/>
            </w:tcBorders>
            <w:hideMark/>
          </w:tcPr>
          <w:p w14:paraId="6A12F86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Canelones, Montevideo</w:t>
            </w:r>
          </w:p>
        </w:tc>
        <w:tc>
          <w:tcPr>
            <w:tcW w:w="1036" w:type="dxa"/>
            <w:tcBorders>
              <w:top w:val="single" w:sz="4" w:space="0" w:color="auto"/>
              <w:left w:val="nil"/>
              <w:bottom w:val="single" w:sz="4" w:space="0" w:color="auto"/>
              <w:right w:val="nil"/>
            </w:tcBorders>
            <w:hideMark/>
          </w:tcPr>
          <w:p w14:paraId="74D03DE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2004-2016</w:t>
            </w:r>
            <w:bookmarkStart w:id="0" w:name="bookmark=id.n0rhya434owg"/>
            <w:bookmarkEnd w:id="0"/>
          </w:p>
        </w:tc>
        <w:tc>
          <w:tcPr>
            <w:tcW w:w="1266" w:type="dxa"/>
            <w:tcBorders>
              <w:top w:val="single" w:sz="4" w:space="0" w:color="auto"/>
              <w:left w:val="nil"/>
              <w:bottom w:val="single" w:sz="4" w:space="0" w:color="auto"/>
              <w:right w:val="nil"/>
            </w:tcBorders>
            <w:hideMark/>
          </w:tcPr>
          <w:p w14:paraId="73E32FB0" w14:textId="77777777" w:rsidR="009335B6" w:rsidRPr="009335B6" w:rsidRDefault="009335B6" w:rsidP="009335B6">
            <w:pPr>
              <w:rPr>
                <w:rFonts w:ascii="Times New Roman" w:hAnsi="Times New Roman" w:cs="Times New Roman"/>
                <w:sz w:val="24"/>
                <w:szCs w:val="24"/>
              </w:rPr>
            </w:pPr>
            <w:proofErr w:type="spellStart"/>
            <w:r w:rsidRPr="009335B6">
              <w:rPr>
                <w:rFonts w:ascii="Times New Roman" w:hAnsi="Times New Roman" w:cs="Times New Roman"/>
                <w:sz w:val="24"/>
                <w:szCs w:val="24"/>
              </w:rPr>
              <w:t>Aubriot</w:t>
            </w:r>
            <w:proofErr w:type="spellEnd"/>
            <w:r w:rsidRPr="009335B6">
              <w:rPr>
                <w:rFonts w:ascii="Times New Roman" w:hAnsi="Times New Roman" w:cs="Times New Roman"/>
                <w:sz w:val="24"/>
                <w:szCs w:val="24"/>
              </w:rPr>
              <w:t xml:space="preserve"> et al., 2017</w:t>
            </w:r>
          </w:p>
        </w:tc>
      </w:tr>
      <w:tr w:rsidR="009335B6" w:rsidRPr="009335B6" w14:paraId="3D10A16B" w14:textId="77777777" w:rsidTr="009335B6">
        <w:tc>
          <w:tcPr>
            <w:tcW w:w="2385" w:type="dxa"/>
            <w:tcBorders>
              <w:top w:val="single" w:sz="4" w:space="0" w:color="auto"/>
              <w:left w:val="nil"/>
              <w:bottom w:val="single" w:sz="4" w:space="0" w:color="auto"/>
              <w:right w:val="nil"/>
            </w:tcBorders>
            <w:hideMark/>
          </w:tcPr>
          <w:p w14:paraId="16F2920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Santa Lucía river</w:t>
            </w:r>
          </w:p>
        </w:tc>
        <w:tc>
          <w:tcPr>
            <w:tcW w:w="2776" w:type="dxa"/>
            <w:tcBorders>
              <w:top w:val="single" w:sz="4" w:space="0" w:color="auto"/>
              <w:left w:val="nil"/>
              <w:bottom w:val="single" w:sz="4" w:space="0" w:color="auto"/>
              <w:right w:val="nil"/>
            </w:tcBorders>
            <w:hideMark/>
          </w:tcPr>
          <w:p w14:paraId="72D7E124"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0.300 - 0.900</w:t>
            </w:r>
          </w:p>
        </w:tc>
        <w:tc>
          <w:tcPr>
            <w:tcW w:w="1484" w:type="dxa"/>
            <w:tcBorders>
              <w:top w:val="single" w:sz="4" w:space="0" w:color="auto"/>
              <w:left w:val="nil"/>
              <w:bottom w:val="single" w:sz="4" w:space="0" w:color="auto"/>
              <w:right w:val="nil"/>
            </w:tcBorders>
            <w:hideMark/>
          </w:tcPr>
          <w:p w14:paraId="5EE5056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0.680 (median)</w:t>
            </w:r>
          </w:p>
        </w:tc>
        <w:tc>
          <w:tcPr>
            <w:tcW w:w="1635" w:type="dxa"/>
            <w:tcBorders>
              <w:top w:val="single" w:sz="4" w:space="0" w:color="auto"/>
              <w:left w:val="nil"/>
              <w:bottom w:val="single" w:sz="4" w:space="0" w:color="auto"/>
              <w:right w:val="nil"/>
            </w:tcBorders>
            <w:hideMark/>
          </w:tcPr>
          <w:p w14:paraId="130E47C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~88%</w:t>
            </w:r>
          </w:p>
        </w:tc>
        <w:tc>
          <w:tcPr>
            <w:tcW w:w="1545" w:type="dxa"/>
            <w:tcBorders>
              <w:top w:val="single" w:sz="4" w:space="0" w:color="auto"/>
              <w:left w:val="nil"/>
              <w:bottom w:val="single" w:sz="4" w:space="0" w:color="auto"/>
              <w:right w:val="nil"/>
            </w:tcBorders>
            <w:hideMark/>
          </w:tcPr>
          <w:p w14:paraId="25E41F3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Canelones</w:t>
            </w:r>
          </w:p>
        </w:tc>
        <w:tc>
          <w:tcPr>
            <w:tcW w:w="1036" w:type="dxa"/>
            <w:tcBorders>
              <w:top w:val="single" w:sz="4" w:space="0" w:color="auto"/>
              <w:left w:val="nil"/>
              <w:bottom w:val="single" w:sz="4" w:space="0" w:color="auto"/>
              <w:right w:val="nil"/>
            </w:tcBorders>
            <w:hideMark/>
          </w:tcPr>
          <w:p w14:paraId="3B8F5CB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2008-2009</w:t>
            </w:r>
            <w:bookmarkStart w:id="1" w:name="bookmark=id.odc8xo3djbh8"/>
            <w:bookmarkEnd w:id="1"/>
          </w:p>
        </w:tc>
        <w:tc>
          <w:tcPr>
            <w:tcW w:w="1266" w:type="dxa"/>
            <w:tcBorders>
              <w:top w:val="single" w:sz="4" w:space="0" w:color="auto"/>
              <w:left w:val="nil"/>
              <w:bottom w:val="single" w:sz="4" w:space="0" w:color="auto"/>
              <w:right w:val="nil"/>
            </w:tcBorders>
            <w:hideMark/>
          </w:tcPr>
          <w:p w14:paraId="05E4FED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Barreto et al., 2017</w:t>
            </w:r>
          </w:p>
        </w:tc>
      </w:tr>
      <w:tr w:rsidR="009335B6" w:rsidRPr="009335B6" w14:paraId="055177FC" w14:textId="77777777" w:rsidTr="009335B6">
        <w:tc>
          <w:tcPr>
            <w:tcW w:w="2385" w:type="dxa"/>
            <w:tcBorders>
              <w:top w:val="single" w:sz="4" w:space="0" w:color="auto"/>
              <w:left w:val="nil"/>
              <w:bottom w:val="single" w:sz="4" w:space="0" w:color="auto"/>
              <w:right w:val="nil"/>
            </w:tcBorders>
            <w:hideMark/>
          </w:tcPr>
          <w:p w14:paraId="420D6BA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Río Negro and Río Uruguay rivers</w:t>
            </w:r>
          </w:p>
        </w:tc>
        <w:tc>
          <w:tcPr>
            <w:tcW w:w="2776" w:type="dxa"/>
            <w:tcBorders>
              <w:top w:val="single" w:sz="4" w:space="0" w:color="auto"/>
              <w:left w:val="nil"/>
              <w:bottom w:val="single" w:sz="4" w:space="0" w:color="auto"/>
              <w:right w:val="nil"/>
            </w:tcBorders>
            <w:hideMark/>
          </w:tcPr>
          <w:p w14:paraId="17E6A63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0.050 - 0.150</w:t>
            </w:r>
            <w:r w:rsidRPr="009335B6">
              <w:rPr>
                <w:rFonts w:ascii="Times New Roman" w:hAnsi="Times New Roman" w:cs="Times New Roman"/>
                <w:sz w:val="24"/>
                <w:szCs w:val="24"/>
              </w:rPr>
              <w:br/>
              <w:t>means: 0.086 (Río Negro) and 0.099 (Río Uruguay)</w:t>
            </w:r>
          </w:p>
        </w:tc>
        <w:tc>
          <w:tcPr>
            <w:tcW w:w="1484" w:type="dxa"/>
            <w:tcBorders>
              <w:top w:val="single" w:sz="4" w:space="0" w:color="auto"/>
              <w:left w:val="nil"/>
              <w:bottom w:val="single" w:sz="4" w:space="0" w:color="auto"/>
              <w:right w:val="nil"/>
            </w:tcBorders>
            <w:hideMark/>
          </w:tcPr>
          <w:p w14:paraId="0683D564"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0.020 - 0.080</w:t>
            </w:r>
          </w:p>
        </w:tc>
        <w:tc>
          <w:tcPr>
            <w:tcW w:w="1635" w:type="dxa"/>
            <w:tcBorders>
              <w:top w:val="single" w:sz="4" w:space="0" w:color="auto"/>
              <w:left w:val="nil"/>
              <w:bottom w:val="single" w:sz="4" w:space="0" w:color="auto"/>
              <w:right w:val="nil"/>
            </w:tcBorders>
            <w:hideMark/>
          </w:tcPr>
          <w:p w14:paraId="0A9E1A6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~40 - 60% (estimated)</w:t>
            </w:r>
          </w:p>
        </w:tc>
        <w:tc>
          <w:tcPr>
            <w:tcW w:w="1545" w:type="dxa"/>
            <w:tcBorders>
              <w:top w:val="single" w:sz="4" w:space="0" w:color="auto"/>
              <w:left w:val="nil"/>
              <w:bottom w:val="single" w:sz="4" w:space="0" w:color="auto"/>
              <w:right w:val="nil"/>
            </w:tcBorders>
            <w:hideMark/>
          </w:tcPr>
          <w:p w14:paraId="6E676FF4"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Río Negro, Soriano</w:t>
            </w:r>
          </w:p>
        </w:tc>
        <w:tc>
          <w:tcPr>
            <w:tcW w:w="1036" w:type="dxa"/>
            <w:tcBorders>
              <w:top w:val="single" w:sz="4" w:space="0" w:color="auto"/>
              <w:left w:val="nil"/>
              <w:bottom w:val="single" w:sz="4" w:space="0" w:color="auto"/>
              <w:right w:val="nil"/>
            </w:tcBorders>
            <w:hideMark/>
          </w:tcPr>
          <w:p w14:paraId="113EC6A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2009-2018</w:t>
            </w:r>
            <w:bookmarkStart w:id="2" w:name="bookmark=id.kz337dbh10ty"/>
            <w:bookmarkEnd w:id="2"/>
          </w:p>
        </w:tc>
        <w:tc>
          <w:tcPr>
            <w:tcW w:w="1266" w:type="dxa"/>
            <w:tcBorders>
              <w:top w:val="single" w:sz="4" w:space="0" w:color="auto"/>
              <w:left w:val="nil"/>
              <w:bottom w:val="single" w:sz="4" w:space="0" w:color="auto"/>
              <w:right w:val="nil"/>
            </w:tcBorders>
            <w:hideMark/>
          </w:tcPr>
          <w:p w14:paraId="305699A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Beretta-Blanco and Carrasco-Letelier, 2021</w:t>
            </w:r>
          </w:p>
        </w:tc>
      </w:tr>
      <w:tr w:rsidR="009335B6" w:rsidRPr="009335B6" w14:paraId="3D96FA83" w14:textId="77777777" w:rsidTr="009335B6">
        <w:tc>
          <w:tcPr>
            <w:tcW w:w="2385" w:type="dxa"/>
            <w:tcBorders>
              <w:top w:val="single" w:sz="4" w:space="0" w:color="auto"/>
              <w:left w:val="nil"/>
              <w:bottom w:val="single" w:sz="4" w:space="0" w:color="auto"/>
              <w:right w:val="nil"/>
            </w:tcBorders>
            <w:hideMark/>
          </w:tcPr>
          <w:p w14:paraId="2174A9A2" w14:textId="77777777" w:rsidR="009335B6" w:rsidRPr="009335B6" w:rsidRDefault="009335B6" w:rsidP="009335B6">
            <w:pPr>
              <w:rPr>
                <w:rFonts w:ascii="Times New Roman" w:hAnsi="Times New Roman" w:cs="Times New Roman"/>
                <w:sz w:val="24"/>
                <w:szCs w:val="24"/>
              </w:rPr>
            </w:pPr>
            <w:proofErr w:type="spellStart"/>
            <w:r w:rsidRPr="009335B6">
              <w:rPr>
                <w:rFonts w:ascii="Times New Roman" w:hAnsi="Times New Roman" w:cs="Times New Roman"/>
                <w:sz w:val="24"/>
                <w:szCs w:val="24"/>
              </w:rPr>
              <w:t>Queguay</w:t>
            </w:r>
            <w:proofErr w:type="spellEnd"/>
            <w:r w:rsidRPr="009335B6">
              <w:rPr>
                <w:rFonts w:ascii="Times New Roman" w:hAnsi="Times New Roman" w:cs="Times New Roman"/>
                <w:sz w:val="24"/>
                <w:szCs w:val="24"/>
              </w:rPr>
              <w:t xml:space="preserve"> River</w:t>
            </w:r>
          </w:p>
        </w:tc>
        <w:tc>
          <w:tcPr>
            <w:tcW w:w="2776" w:type="dxa"/>
            <w:tcBorders>
              <w:top w:val="single" w:sz="4" w:space="0" w:color="auto"/>
              <w:left w:val="nil"/>
              <w:bottom w:val="single" w:sz="4" w:space="0" w:color="auto"/>
              <w:right w:val="nil"/>
            </w:tcBorders>
            <w:hideMark/>
          </w:tcPr>
          <w:p w14:paraId="139C705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Rivers: 0.044 – 0.051; Streams: 0.051 – 0.097; Floodplain lakes: 0.074 - 0.109</w:t>
            </w:r>
          </w:p>
        </w:tc>
        <w:tc>
          <w:tcPr>
            <w:tcW w:w="1484" w:type="dxa"/>
            <w:tcBorders>
              <w:top w:val="single" w:sz="4" w:space="0" w:color="auto"/>
              <w:left w:val="nil"/>
              <w:bottom w:val="single" w:sz="4" w:space="0" w:color="auto"/>
              <w:right w:val="nil"/>
            </w:tcBorders>
            <w:hideMark/>
          </w:tcPr>
          <w:p w14:paraId="738E6DD4"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n.d.</w:t>
            </w:r>
          </w:p>
        </w:tc>
        <w:tc>
          <w:tcPr>
            <w:tcW w:w="1635" w:type="dxa"/>
            <w:tcBorders>
              <w:top w:val="single" w:sz="4" w:space="0" w:color="auto"/>
              <w:left w:val="nil"/>
              <w:bottom w:val="single" w:sz="4" w:space="0" w:color="auto"/>
              <w:right w:val="nil"/>
            </w:tcBorders>
            <w:hideMark/>
          </w:tcPr>
          <w:p w14:paraId="3A184F0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w:t>
            </w:r>
          </w:p>
        </w:tc>
        <w:tc>
          <w:tcPr>
            <w:tcW w:w="1545" w:type="dxa"/>
            <w:tcBorders>
              <w:top w:val="single" w:sz="4" w:space="0" w:color="auto"/>
              <w:left w:val="nil"/>
              <w:bottom w:val="single" w:sz="4" w:space="0" w:color="auto"/>
              <w:right w:val="nil"/>
            </w:tcBorders>
            <w:hideMark/>
          </w:tcPr>
          <w:p w14:paraId="519BD64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Paysandú</w:t>
            </w:r>
          </w:p>
        </w:tc>
        <w:tc>
          <w:tcPr>
            <w:tcW w:w="1036" w:type="dxa"/>
            <w:tcBorders>
              <w:top w:val="single" w:sz="4" w:space="0" w:color="auto"/>
              <w:left w:val="nil"/>
              <w:bottom w:val="single" w:sz="4" w:space="0" w:color="auto"/>
              <w:right w:val="nil"/>
            </w:tcBorders>
            <w:hideMark/>
          </w:tcPr>
          <w:p w14:paraId="6277E70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2019-2021</w:t>
            </w:r>
            <w:bookmarkStart w:id="3" w:name="bookmark=id.cujirf35toqb"/>
            <w:bookmarkEnd w:id="3"/>
          </w:p>
        </w:tc>
        <w:tc>
          <w:tcPr>
            <w:tcW w:w="1266" w:type="dxa"/>
            <w:tcBorders>
              <w:top w:val="single" w:sz="4" w:space="0" w:color="auto"/>
              <w:left w:val="nil"/>
              <w:bottom w:val="single" w:sz="4" w:space="0" w:color="auto"/>
              <w:right w:val="nil"/>
            </w:tcBorders>
            <w:hideMark/>
          </w:tcPr>
          <w:p w14:paraId="2CE7398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Lucas et al., 2022</w:t>
            </w:r>
          </w:p>
        </w:tc>
      </w:tr>
      <w:tr w:rsidR="009335B6" w:rsidRPr="009335B6" w14:paraId="354AFE59" w14:textId="77777777" w:rsidTr="009335B6">
        <w:tc>
          <w:tcPr>
            <w:tcW w:w="2385" w:type="dxa"/>
            <w:tcBorders>
              <w:top w:val="single" w:sz="4" w:space="0" w:color="auto"/>
              <w:left w:val="nil"/>
              <w:bottom w:val="single" w:sz="4" w:space="0" w:color="auto"/>
              <w:right w:val="nil"/>
            </w:tcBorders>
            <w:hideMark/>
          </w:tcPr>
          <w:p w14:paraId="641540D7" w14:textId="77777777" w:rsidR="009335B6" w:rsidRPr="009335B6" w:rsidRDefault="009335B6" w:rsidP="009335B6">
            <w:pPr>
              <w:rPr>
                <w:rFonts w:ascii="Times New Roman" w:hAnsi="Times New Roman" w:cs="Times New Roman"/>
                <w:sz w:val="24"/>
                <w:szCs w:val="24"/>
                <w:lang w:val="es-UY"/>
              </w:rPr>
            </w:pPr>
            <w:r w:rsidRPr="009335B6">
              <w:rPr>
                <w:rFonts w:ascii="Times New Roman" w:hAnsi="Times New Roman" w:cs="Times New Roman"/>
                <w:sz w:val="24"/>
                <w:szCs w:val="24"/>
                <w:lang w:val="es-UY"/>
              </w:rPr>
              <w:t xml:space="preserve">Salto Grande </w:t>
            </w:r>
            <w:proofErr w:type="spellStart"/>
            <w:r w:rsidRPr="009335B6">
              <w:rPr>
                <w:rFonts w:ascii="Times New Roman" w:hAnsi="Times New Roman" w:cs="Times New Roman"/>
                <w:sz w:val="24"/>
                <w:szCs w:val="24"/>
                <w:lang w:val="es-UY"/>
              </w:rPr>
              <w:t>Reservoir</w:t>
            </w:r>
            <w:proofErr w:type="spellEnd"/>
            <w:r w:rsidRPr="009335B6">
              <w:rPr>
                <w:rFonts w:ascii="Times New Roman" w:hAnsi="Times New Roman" w:cs="Times New Roman"/>
                <w:sz w:val="24"/>
                <w:szCs w:val="24"/>
                <w:lang w:val="es-UY"/>
              </w:rPr>
              <w:t xml:space="preserve"> (Argentine - Uruguay)</w:t>
            </w:r>
          </w:p>
        </w:tc>
        <w:tc>
          <w:tcPr>
            <w:tcW w:w="2776" w:type="dxa"/>
            <w:tcBorders>
              <w:top w:val="single" w:sz="4" w:space="0" w:color="auto"/>
              <w:left w:val="nil"/>
              <w:bottom w:val="single" w:sz="4" w:space="0" w:color="auto"/>
              <w:right w:val="nil"/>
            </w:tcBorders>
            <w:hideMark/>
          </w:tcPr>
          <w:p w14:paraId="1E655C5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0.030 - 0.090</w:t>
            </w:r>
          </w:p>
        </w:tc>
        <w:tc>
          <w:tcPr>
            <w:tcW w:w="1484" w:type="dxa"/>
            <w:tcBorders>
              <w:top w:val="single" w:sz="4" w:space="0" w:color="auto"/>
              <w:left w:val="nil"/>
              <w:bottom w:val="single" w:sz="4" w:space="0" w:color="auto"/>
              <w:right w:val="nil"/>
            </w:tcBorders>
            <w:hideMark/>
          </w:tcPr>
          <w:p w14:paraId="3195109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0.010 - 0.065</w:t>
            </w:r>
          </w:p>
        </w:tc>
        <w:tc>
          <w:tcPr>
            <w:tcW w:w="1635" w:type="dxa"/>
            <w:tcBorders>
              <w:top w:val="single" w:sz="4" w:space="0" w:color="auto"/>
              <w:left w:val="nil"/>
              <w:bottom w:val="single" w:sz="4" w:space="0" w:color="auto"/>
              <w:right w:val="nil"/>
            </w:tcBorders>
            <w:hideMark/>
          </w:tcPr>
          <w:p w14:paraId="3EAB0CAF"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~23-39%</w:t>
            </w:r>
          </w:p>
        </w:tc>
        <w:tc>
          <w:tcPr>
            <w:tcW w:w="1545" w:type="dxa"/>
            <w:tcBorders>
              <w:top w:val="single" w:sz="4" w:space="0" w:color="auto"/>
              <w:left w:val="nil"/>
              <w:bottom w:val="single" w:sz="4" w:space="0" w:color="auto"/>
              <w:right w:val="nil"/>
            </w:tcBorders>
            <w:hideMark/>
          </w:tcPr>
          <w:p w14:paraId="43127183" w14:textId="77777777" w:rsidR="009335B6" w:rsidRPr="009335B6" w:rsidRDefault="009335B6" w:rsidP="009335B6">
            <w:pPr>
              <w:rPr>
                <w:rFonts w:ascii="Times New Roman" w:hAnsi="Times New Roman" w:cs="Times New Roman"/>
                <w:sz w:val="24"/>
                <w:szCs w:val="24"/>
                <w:lang w:val="es-UY"/>
              </w:rPr>
            </w:pPr>
            <w:r w:rsidRPr="009335B6">
              <w:rPr>
                <w:rFonts w:ascii="Times New Roman" w:hAnsi="Times New Roman" w:cs="Times New Roman"/>
                <w:sz w:val="24"/>
                <w:szCs w:val="24"/>
                <w:lang w:val="es-UY"/>
              </w:rPr>
              <w:t>Salto (Uruguay), Entre Ríos (Argentine)</w:t>
            </w:r>
          </w:p>
        </w:tc>
        <w:tc>
          <w:tcPr>
            <w:tcW w:w="1036" w:type="dxa"/>
            <w:tcBorders>
              <w:top w:val="single" w:sz="4" w:space="0" w:color="auto"/>
              <w:left w:val="nil"/>
              <w:bottom w:val="single" w:sz="4" w:space="0" w:color="auto"/>
              <w:right w:val="nil"/>
            </w:tcBorders>
            <w:hideMark/>
          </w:tcPr>
          <w:p w14:paraId="3599838F"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2000-2001</w:t>
            </w:r>
            <w:bookmarkStart w:id="4" w:name="bookmark=id.9phlz6ghf3ug"/>
            <w:bookmarkEnd w:id="4"/>
          </w:p>
        </w:tc>
        <w:tc>
          <w:tcPr>
            <w:tcW w:w="1266" w:type="dxa"/>
            <w:tcBorders>
              <w:top w:val="single" w:sz="4" w:space="0" w:color="auto"/>
              <w:left w:val="nil"/>
              <w:bottom w:val="single" w:sz="4" w:space="0" w:color="auto"/>
              <w:right w:val="nil"/>
            </w:tcBorders>
            <w:hideMark/>
          </w:tcPr>
          <w:p w14:paraId="5D58DE0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De León and Chalar, 2003</w:t>
            </w:r>
          </w:p>
        </w:tc>
      </w:tr>
      <w:tr w:rsidR="009335B6" w:rsidRPr="009335B6" w14:paraId="32A97A72" w14:textId="77777777" w:rsidTr="009335B6">
        <w:tc>
          <w:tcPr>
            <w:tcW w:w="2385" w:type="dxa"/>
            <w:tcBorders>
              <w:top w:val="single" w:sz="4" w:space="0" w:color="auto"/>
              <w:left w:val="nil"/>
              <w:bottom w:val="single" w:sz="4" w:space="0" w:color="000000"/>
              <w:right w:val="nil"/>
            </w:tcBorders>
            <w:hideMark/>
          </w:tcPr>
          <w:p w14:paraId="190C7892" w14:textId="77777777" w:rsidR="009335B6" w:rsidRPr="009335B6" w:rsidRDefault="009335B6" w:rsidP="009335B6">
            <w:pPr>
              <w:rPr>
                <w:rFonts w:ascii="Times New Roman" w:hAnsi="Times New Roman" w:cs="Times New Roman"/>
                <w:sz w:val="24"/>
                <w:szCs w:val="24"/>
                <w:lang w:val="es-UY"/>
              </w:rPr>
            </w:pPr>
            <w:r w:rsidRPr="009335B6">
              <w:rPr>
                <w:rFonts w:ascii="Times New Roman" w:hAnsi="Times New Roman" w:cs="Times New Roman"/>
                <w:sz w:val="24"/>
                <w:szCs w:val="24"/>
                <w:lang w:val="es-UY"/>
              </w:rPr>
              <w:t xml:space="preserve">Paso Severino </w:t>
            </w:r>
            <w:proofErr w:type="spellStart"/>
            <w:r w:rsidRPr="009335B6">
              <w:rPr>
                <w:rFonts w:ascii="Times New Roman" w:hAnsi="Times New Roman" w:cs="Times New Roman"/>
                <w:sz w:val="24"/>
                <w:szCs w:val="24"/>
                <w:lang w:val="es-UY"/>
              </w:rPr>
              <w:t>Reservoir</w:t>
            </w:r>
            <w:proofErr w:type="spellEnd"/>
            <w:r w:rsidRPr="009335B6">
              <w:rPr>
                <w:rFonts w:ascii="Times New Roman" w:hAnsi="Times New Roman" w:cs="Times New Roman"/>
                <w:sz w:val="24"/>
                <w:szCs w:val="24"/>
                <w:lang w:val="es-UY"/>
              </w:rPr>
              <w:t xml:space="preserve"> (Santa Lucía </w:t>
            </w:r>
            <w:proofErr w:type="spellStart"/>
            <w:r w:rsidRPr="009335B6">
              <w:rPr>
                <w:rFonts w:ascii="Times New Roman" w:hAnsi="Times New Roman" w:cs="Times New Roman"/>
                <w:sz w:val="24"/>
                <w:szCs w:val="24"/>
                <w:lang w:val="es-UY"/>
              </w:rPr>
              <w:t>river</w:t>
            </w:r>
            <w:proofErr w:type="spellEnd"/>
            <w:r w:rsidRPr="009335B6">
              <w:rPr>
                <w:rFonts w:ascii="Times New Roman" w:hAnsi="Times New Roman" w:cs="Times New Roman"/>
                <w:sz w:val="24"/>
                <w:szCs w:val="24"/>
                <w:lang w:val="es-UY"/>
              </w:rPr>
              <w:t>)</w:t>
            </w:r>
          </w:p>
        </w:tc>
        <w:tc>
          <w:tcPr>
            <w:tcW w:w="2776" w:type="dxa"/>
            <w:tcBorders>
              <w:top w:val="single" w:sz="4" w:space="0" w:color="auto"/>
              <w:left w:val="nil"/>
              <w:bottom w:val="single" w:sz="4" w:space="0" w:color="000000"/>
              <w:right w:val="nil"/>
            </w:tcBorders>
            <w:hideMark/>
          </w:tcPr>
          <w:p w14:paraId="0E7A438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0.380 (annual mean)</w:t>
            </w:r>
          </w:p>
        </w:tc>
        <w:tc>
          <w:tcPr>
            <w:tcW w:w="1484" w:type="dxa"/>
            <w:tcBorders>
              <w:top w:val="single" w:sz="4" w:space="0" w:color="auto"/>
              <w:left w:val="nil"/>
              <w:bottom w:val="single" w:sz="4" w:space="0" w:color="000000"/>
              <w:right w:val="nil"/>
            </w:tcBorders>
            <w:hideMark/>
          </w:tcPr>
          <w:p w14:paraId="037D0DE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n.d.</w:t>
            </w:r>
          </w:p>
        </w:tc>
        <w:tc>
          <w:tcPr>
            <w:tcW w:w="1635" w:type="dxa"/>
            <w:tcBorders>
              <w:top w:val="single" w:sz="4" w:space="0" w:color="auto"/>
              <w:left w:val="nil"/>
              <w:bottom w:val="single" w:sz="4" w:space="0" w:color="000000"/>
              <w:right w:val="nil"/>
            </w:tcBorders>
            <w:hideMark/>
          </w:tcPr>
          <w:p w14:paraId="6F8BF0F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w:t>
            </w:r>
          </w:p>
        </w:tc>
        <w:tc>
          <w:tcPr>
            <w:tcW w:w="1545" w:type="dxa"/>
            <w:tcBorders>
              <w:top w:val="single" w:sz="4" w:space="0" w:color="auto"/>
              <w:left w:val="nil"/>
              <w:bottom w:val="single" w:sz="4" w:space="0" w:color="000000"/>
              <w:right w:val="nil"/>
            </w:tcBorders>
            <w:hideMark/>
          </w:tcPr>
          <w:p w14:paraId="66A7686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Florida</w:t>
            </w:r>
          </w:p>
        </w:tc>
        <w:tc>
          <w:tcPr>
            <w:tcW w:w="1036" w:type="dxa"/>
            <w:tcBorders>
              <w:top w:val="single" w:sz="4" w:space="0" w:color="auto"/>
              <w:left w:val="nil"/>
              <w:bottom w:val="single" w:sz="4" w:space="0" w:color="000000"/>
              <w:right w:val="nil"/>
            </w:tcBorders>
            <w:hideMark/>
          </w:tcPr>
          <w:p w14:paraId="3F5E08D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2013-2015</w:t>
            </w:r>
          </w:p>
        </w:tc>
        <w:tc>
          <w:tcPr>
            <w:tcW w:w="1266" w:type="dxa"/>
            <w:tcBorders>
              <w:top w:val="single" w:sz="4" w:space="0" w:color="auto"/>
              <w:left w:val="nil"/>
              <w:bottom w:val="single" w:sz="4" w:space="0" w:color="000000"/>
              <w:right w:val="nil"/>
            </w:tcBorders>
            <w:hideMark/>
          </w:tcPr>
          <w:p w14:paraId="1585375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Arocena et al., 2016</w:t>
            </w:r>
          </w:p>
        </w:tc>
      </w:tr>
      <w:tr w:rsidR="009335B6" w:rsidRPr="009335B6" w14:paraId="0D15C134" w14:textId="77777777" w:rsidTr="009335B6">
        <w:tc>
          <w:tcPr>
            <w:tcW w:w="2385" w:type="dxa"/>
            <w:tcBorders>
              <w:top w:val="single" w:sz="4" w:space="0" w:color="000000"/>
              <w:left w:val="nil"/>
              <w:bottom w:val="single" w:sz="4" w:space="0" w:color="auto"/>
              <w:right w:val="nil"/>
            </w:tcBorders>
            <w:hideMark/>
          </w:tcPr>
          <w:p w14:paraId="2ACB3FD5" w14:textId="77777777" w:rsidR="009335B6" w:rsidRPr="009335B6" w:rsidRDefault="009335B6" w:rsidP="009335B6">
            <w:pPr>
              <w:rPr>
                <w:rFonts w:ascii="Times New Roman" w:hAnsi="Times New Roman" w:cs="Times New Roman"/>
                <w:sz w:val="24"/>
                <w:szCs w:val="24"/>
              </w:rPr>
            </w:pPr>
            <w:proofErr w:type="spellStart"/>
            <w:r w:rsidRPr="009335B6">
              <w:rPr>
                <w:rFonts w:ascii="Times New Roman" w:hAnsi="Times New Roman" w:cs="Times New Roman"/>
                <w:sz w:val="24"/>
                <w:szCs w:val="24"/>
              </w:rPr>
              <w:lastRenderedPageBreak/>
              <w:t>Canelón</w:t>
            </w:r>
            <w:proofErr w:type="spellEnd"/>
            <w:r w:rsidRPr="009335B6">
              <w:rPr>
                <w:rFonts w:ascii="Times New Roman" w:hAnsi="Times New Roman" w:cs="Times New Roman"/>
                <w:sz w:val="24"/>
                <w:szCs w:val="24"/>
              </w:rPr>
              <w:t xml:space="preserve"> Grande and </w:t>
            </w:r>
            <w:proofErr w:type="spellStart"/>
            <w:r w:rsidRPr="009335B6">
              <w:rPr>
                <w:rFonts w:ascii="Times New Roman" w:hAnsi="Times New Roman" w:cs="Times New Roman"/>
                <w:sz w:val="24"/>
                <w:szCs w:val="24"/>
              </w:rPr>
              <w:t>Canelón</w:t>
            </w:r>
            <w:proofErr w:type="spellEnd"/>
            <w:r w:rsidRPr="009335B6">
              <w:rPr>
                <w:rFonts w:ascii="Times New Roman" w:hAnsi="Times New Roman" w:cs="Times New Roman"/>
                <w:sz w:val="24"/>
                <w:szCs w:val="24"/>
              </w:rPr>
              <w:t xml:space="preserve"> Chico streams</w:t>
            </w:r>
          </w:p>
        </w:tc>
        <w:tc>
          <w:tcPr>
            <w:tcW w:w="2776" w:type="dxa"/>
            <w:tcBorders>
              <w:top w:val="single" w:sz="4" w:space="0" w:color="000000"/>
              <w:left w:val="nil"/>
              <w:bottom w:val="single" w:sz="4" w:space="0" w:color="auto"/>
              <w:right w:val="nil"/>
            </w:tcBorders>
            <w:hideMark/>
          </w:tcPr>
          <w:p w14:paraId="525C8EB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&gt; 0.100</w:t>
            </w:r>
          </w:p>
        </w:tc>
        <w:tc>
          <w:tcPr>
            <w:tcW w:w="1484" w:type="dxa"/>
            <w:tcBorders>
              <w:top w:val="single" w:sz="4" w:space="0" w:color="000000"/>
              <w:left w:val="nil"/>
              <w:bottom w:val="single" w:sz="4" w:space="0" w:color="auto"/>
              <w:right w:val="nil"/>
            </w:tcBorders>
            <w:hideMark/>
          </w:tcPr>
          <w:p w14:paraId="43DCE9F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n.d.</w:t>
            </w:r>
          </w:p>
        </w:tc>
        <w:tc>
          <w:tcPr>
            <w:tcW w:w="1635" w:type="dxa"/>
            <w:tcBorders>
              <w:top w:val="single" w:sz="4" w:space="0" w:color="000000"/>
              <w:left w:val="nil"/>
              <w:bottom w:val="single" w:sz="4" w:space="0" w:color="auto"/>
              <w:right w:val="nil"/>
            </w:tcBorders>
            <w:hideMark/>
          </w:tcPr>
          <w:p w14:paraId="0D09560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w:t>
            </w:r>
          </w:p>
        </w:tc>
        <w:tc>
          <w:tcPr>
            <w:tcW w:w="1545" w:type="dxa"/>
            <w:tcBorders>
              <w:top w:val="single" w:sz="4" w:space="0" w:color="000000"/>
              <w:left w:val="nil"/>
              <w:bottom w:val="single" w:sz="4" w:space="0" w:color="auto"/>
              <w:right w:val="nil"/>
            </w:tcBorders>
            <w:hideMark/>
          </w:tcPr>
          <w:p w14:paraId="3A35BFC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Canelones</w:t>
            </w:r>
          </w:p>
        </w:tc>
        <w:tc>
          <w:tcPr>
            <w:tcW w:w="1036" w:type="dxa"/>
            <w:tcBorders>
              <w:top w:val="single" w:sz="4" w:space="0" w:color="000000"/>
              <w:left w:val="nil"/>
              <w:bottom w:val="single" w:sz="4" w:space="0" w:color="auto"/>
              <w:right w:val="nil"/>
            </w:tcBorders>
            <w:hideMark/>
          </w:tcPr>
          <w:p w14:paraId="3B0A22F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2004-2016</w:t>
            </w:r>
          </w:p>
        </w:tc>
        <w:tc>
          <w:tcPr>
            <w:tcW w:w="1266" w:type="dxa"/>
            <w:tcBorders>
              <w:top w:val="single" w:sz="4" w:space="0" w:color="000000"/>
              <w:left w:val="nil"/>
              <w:bottom w:val="single" w:sz="4" w:space="0" w:color="auto"/>
              <w:right w:val="nil"/>
            </w:tcBorders>
            <w:hideMark/>
          </w:tcPr>
          <w:p w14:paraId="0EEBF4A9" w14:textId="77777777" w:rsidR="009335B6" w:rsidRPr="009335B6" w:rsidRDefault="009335B6" w:rsidP="009335B6">
            <w:pPr>
              <w:rPr>
                <w:rFonts w:ascii="Times New Roman" w:hAnsi="Times New Roman" w:cs="Times New Roman"/>
                <w:sz w:val="24"/>
                <w:szCs w:val="24"/>
              </w:rPr>
            </w:pPr>
            <w:proofErr w:type="spellStart"/>
            <w:r w:rsidRPr="009335B6">
              <w:rPr>
                <w:rFonts w:ascii="Times New Roman" w:hAnsi="Times New Roman" w:cs="Times New Roman"/>
                <w:sz w:val="24"/>
                <w:szCs w:val="24"/>
              </w:rPr>
              <w:t>Aubriot</w:t>
            </w:r>
            <w:proofErr w:type="spellEnd"/>
            <w:r w:rsidRPr="009335B6">
              <w:rPr>
                <w:rFonts w:ascii="Times New Roman" w:hAnsi="Times New Roman" w:cs="Times New Roman"/>
                <w:sz w:val="24"/>
                <w:szCs w:val="24"/>
              </w:rPr>
              <w:t xml:space="preserve"> et al., 2017</w:t>
            </w:r>
          </w:p>
        </w:tc>
      </w:tr>
      <w:tr w:rsidR="009335B6" w:rsidRPr="009335B6" w14:paraId="3584C24C" w14:textId="77777777" w:rsidTr="009335B6">
        <w:tc>
          <w:tcPr>
            <w:tcW w:w="2385" w:type="dxa"/>
            <w:tcBorders>
              <w:top w:val="single" w:sz="4" w:space="0" w:color="auto"/>
              <w:left w:val="nil"/>
              <w:bottom w:val="single" w:sz="4" w:space="0" w:color="auto"/>
              <w:right w:val="nil"/>
            </w:tcBorders>
            <w:hideMark/>
          </w:tcPr>
          <w:p w14:paraId="16A1982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Coastal Lagoons</w:t>
            </w:r>
          </w:p>
        </w:tc>
        <w:tc>
          <w:tcPr>
            <w:tcW w:w="2776" w:type="dxa"/>
            <w:tcBorders>
              <w:top w:val="single" w:sz="4" w:space="0" w:color="auto"/>
              <w:left w:val="nil"/>
              <w:bottom w:val="single" w:sz="4" w:space="0" w:color="auto"/>
              <w:right w:val="nil"/>
            </w:tcBorders>
            <w:hideMark/>
          </w:tcPr>
          <w:p w14:paraId="50569C6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0.060 - 0.300</w:t>
            </w:r>
          </w:p>
        </w:tc>
        <w:tc>
          <w:tcPr>
            <w:tcW w:w="1484" w:type="dxa"/>
            <w:tcBorders>
              <w:top w:val="single" w:sz="4" w:space="0" w:color="auto"/>
              <w:left w:val="nil"/>
              <w:bottom w:val="single" w:sz="4" w:space="0" w:color="auto"/>
              <w:right w:val="nil"/>
            </w:tcBorders>
            <w:hideMark/>
          </w:tcPr>
          <w:p w14:paraId="25BA266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0.010 - 0.100</w:t>
            </w:r>
          </w:p>
        </w:tc>
        <w:tc>
          <w:tcPr>
            <w:tcW w:w="1635" w:type="dxa"/>
            <w:tcBorders>
              <w:top w:val="single" w:sz="4" w:space="0" w:color="auto"/>
              <w:left w:val="nil"/>
              <w:bottom w:val="single" w:sz="4" w:space="0" w:color="auto"/>
              <w:right w:val="nil"/>
            </w:tcBorders>
            <w:hideMark/>
          </w:tcPr>
          <w:p w14:paraId="715F3BB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~17-33%</w:t>
            </w:r>
          </w:p>
        </w:tc>
        <w:tc>
          <w:tcPr>
            <w:tcW w:w="1545" w:type="dxa"/>
            <w:tcBorders>
              <w:top w:val="single" w:sz="4" w:space="0" w:color="auto"/>
              <w:left w:val="nil"/>
              <w:bottom w:val="single" w:sz="4" w:space="0" w:color="auto"/>
              <w:right w:val="nil"/>
            </w:tcBorders>
            <w:hideMark/>
          </w:tcPr>
          <w:p w14:paraId="6D82CB9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Maldonado, Rocha</w:t>
            </w:r>
          </w:p>
        </w:tc>
        <w:tc>
          <w:tcPr>
            <w:tcW w:w="1036" w:type="dxa"/>
            <w:tcBorders>
              <w:top w:val="single" w:sz="4" w:space="0" w:color="auto"/>
              <w:left w:val="nil"/>
              <w:bottom w:val="single" w:sz="4" w:space="0" w:color="auto"/>
              <w:right w:val="nil"/>
            </w:tcBorders>
            <w:hideMark/>
          </w:tcPr>
          <w:p w14:paraId="4DC8960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2007-2011</w:t>
            </w:r>
          </w:p>
        </w:tc>
        <w:tc>
          <w:tcPr>
            <w:tcW w:w="1266" w:type="dxa"/>
            <w:tcBorders>
              <w:top w:val="single" w:sz="4" w:space="0" w:color="auto"/>
              <w:left w:val="nil"/>
              <w:bottom w:val="single" w:sz="4" w:space="0" w:color="auto"/>
              <w:right w:val="nil"/>
            </w:tcBorders>
            <w:hideMark/>
          </w:tcPr>
          <w:p w14:paraId="23314DD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Rodríguez-Gallego, 2010</w:t>
            </w:r>
          </w:p>
        </w:tc>
      </w:tr>
      <w:tr w:rsidR="009335B6" w:rsidRPr="009335B6" w14:paraId="02050251" w14:textId="77777777" w:rsidTr="009335B6">
        <w:tc>
          <w:tcPr>
            <w:tcW w:w="2385" w:type="dxa"/>
            <w:tcBorders>
              <w:top w:val="single" w:sz="4" w:space="0" w:color="auto"/>
              <w:left w:val="nil"/>
              <w:bottom w:val="single" w:sz="4" w:space="0" w:color="auto"/>
              <w:right w:val="nil"/>
            </w:tcBorders>
            <w:hideMark/>
          </w:tcPr>
          <w:p w14:paraId="411E9B2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Río Negro river</w:t>
            </w:r>
          </w:p>
        </w:tc>
        <w:tc>
          <w:tcPr>
            <w:tcW w:w="2776" w:type="dxa"/>
            <w:tcBorders>
              <w:top w:val="single" w:sz="4" w:space="0" w:color="auto"/>
              <w:left w:val="nil"/>
              <w:bottom w:val="single" w:sz="4" w:space="0" w:color="auto"/>
              <w:right w:val="nil"/>
            </w:tcBorders>
            <w:hideMark/>
          </w:tcPr>
          <w:p w14:paraId="4E31F95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0.158</w:t>
            </w:r>
          </w:p>
        </w:tc>
        <w:tc>
          <w:tcPr>
            <w:tcW w:w="1484" w:type="dxa"/>
            <w:tcBorders>
              <w:top w:val="single" w:sz="4" w:space="0" w:color="auto"/>
              <w:left w:val="nil"/>
              <w:bottom w:val="single" w:sz="4" w:space="0" w:color="auto"/>
              <w:right w:val="nil"/>
            </w:tcBorders>
            <w:hideMark/>
          </w:tcPr>
          <w:p w14:paraId="6E37227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0.010 - 0.050</w:t>
            </w:r>
          </w:p>
        </w:tc>
        <w:tc>
          <w:tcPr>
            <w:tcW w:w="1635" w:type="dxa"/>
            <w:tcBorders>
              <w:top w:val="single" w:sz="4" w:space="0" w:color="auto"/>
              <w:left w:val="nil"/>
              <w:bottom w:val="single" w:sz="4" w:space="0" w:color="auto"/>
              <w:right w:val="nil"/>
            </w:tcBorders>
            <w:hideMark/>
          </w:tcPr>
          <w:p w14:paraId="54333C3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~20–40%</w:t>
            </w:r>
          </w:p>
        </w:tc>
        <w:tc>
          <w:tcPr>
            <w:tcW w:w="1545" w:type="dxa"/>
            <w:tcBorders>
              <w:top w:val="single" w:sz="4" w:space="0" w:color="auto"/>
              <w:left w:val="nil"/>
              <w:bottom w:val="single" w:sz="4" w:space="0" w:color="auto"/>
              <w:right w:val="nil"/>
            </w:tcBorders>
            <w:hideMark/>
          </w:tcPr>
          <w:p w14:paraId="4C99574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Río Negro</w:t>
            </w:r>
          </w:p>
        </w:tc>
        <w:tc>
          <w:tcPr>
            <w:tcW w:w="1036" w:type="dxa"/>
            <w:tcBorders>
              <w:top w:val="single" w:sz="4" w:space="0" w:color="auto"/>
              <w:left w:val="nil"/>
              <w:bottom w:val="single" w:sz="4" w:space="0" w:color="auto"/>
              <w:right w:val="nil"/>
            </w:tcBorders>
            <w:hideMark/>
          </w:tcPr>
          <w:p w14:paraId="31B53394"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2009–2010</w:t>
            </w:r>
          </w:p>
        </w:tc>
        <w:tc>
          <w:tcPr>
            <w:tcW w:w="1266" w:type="dxa"/>
            <w:tcBorders>
              <w:top w:val="single" w:sz="4" w:space="0" w:color="auto"/>
              <w:left w:val="nil"/>
              <w:bottom w:val="single" w:sz="4" w:space="0" w:color="auto"/>
              <w:right w:val="nil"/>
            </w:tcBorders>
            <w:hideMark/>
          </w:tcPr>
          <w:p w14:paraId="0F887BE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MVOTMA-DINAMA, 2020</w:t>
            </w:r>
          </w:p>
        </w:tc>
      </w:tr>
      <w:tr w:rsidR="009335B6" w:rsidRPr="009335B6" w14:paraId="41A9DBFD" w14:textId="77777777" w:rsidTr="009335B6">
        <w:tc>
          <w:tcPr>
            <w:tcW w:w="2385" w:type="dxa"/>
            <w:tcBorders>
              <w:top w:val="single" w:sz="4" w:space="0" w:color="auto"/>
              <w:left w:val="nil"/>
              <w:bottom w:val="single" w:sz="4" w:space="0" w:color="auto"/>
              <w:right w:val="nil"/>
            </w:tcBorders>
            <w:hideMark/>
          </w:tcPr>
          <w:p w14:paraId="15368AE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Laguna de Rocha lagoon</w:t>
            </w:r>
          </w:p>
        </w:tc>
        <w:tc>
          <w:tcPr>
            <w:tcW w:w="2776" w:type="dxa"/>
            <w:tcBorders>
              <w:top w:val="single" w:sz="4" w:space="0" w:color="auto"/>
              <w:left w:val="nil"/>
              <w:bottom w:val="single" w:sz="4" w:space="0" w:color="auto"/>
              <w:right w:val="nil"/>
            </w:tcBorders>
            <w:hideMark/>
          </w:tcPr>
          <w:p w14:paraId="687BC9F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0.046 - 0.167</w:t>
            </w:r>
          </w:p>
        </w:tc>
        <w:tc>
          <w:tcPr>
            <w:tcW w:w="1484" w:type="dxa"/>
            <w:tcBorders>
              <w:top w:val="single" w:sz="4" w:space="0" w:color="auto"/>
              <w:left w:val="nil"/>
              <w:bottom w:val="single" w:sz="4" w:space="0" w:color="auto"/>
              <w:right w:val="nil"/>
            </w:tcBorders>
            <w:hideMark/>
          </w:tcPr>
          <w:p w14:paraId="6FFEDCF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0.011 - 0.065</w:t>
            </w:r>
          </w:p>
        </w:tc>
        <w:tc>
          <w:tcPr>
            <w:tcW w:w="1635" w:type="dxa"/>
            <w:tcBorders>
              <w:top w:val="single" w:sz="4" w:space="0" w:color="auto"/>
              <w:left w:val="nil"/>
              <w:bottom w:val="single" w:sz="4" w:space="0" w:color="auto"/>
              <w:right w:val="nil"/>
            </w:tcBorders>
            <w:hideMark/>
          </w:tcPr>
          <w:p w14:paraId="1F70F03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~23–39%</w:t>
            </w:r>
          </w:p>
        </w:tc>
        <w:tc>
          <w:tcPr>
            <w:tcW w:w="1545" w:type="dxa"/>
            <w:tcBorders>
              <w:top w:val="single" w:sz="4" w:space="0" w:color="auto"/>
              <w:left w:val="nil"/>
              <w:bottom w:val="single" w:sz="4" w:space="0" w:color="auto"/>
              <w:right w:val="nil"/>
            </w:tcBorders>
            <w:hideMark/>
          </w:tcPr>
          <w:p w14:paraId="4ABB3B4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Rocha</w:t>
            </w:r>
          </w:p>
        </w:tc>
        <w:tc>
          <w:tcPr>
            <w:tcW w:w="1036" w:type="dxa"/>
            <w:tcBorders>
              <w:top w:val="single" w:sz="4" w:space="0" w:color="auto"/>
              <w:left w:val="nil"/>
              <w:bottom w:val="single" w:sz="4" w:space="0" w:color="auto"/>
              <w:right w:val="nil"/>
            </w:tcBorders>
            <w:hideMark/>
          </w:tcPr>
          <w:p w14:paraId="0BDDE478"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2017</w:t>
            </w:r>
          </w:p>
        </w:tc>
        <w:tc>
          <w:tcPr>
            <w:tcW w:w="1266" w:type="dxa"/>
            <w:tcBorders>
              <w:top w:val="single" w:sz="4" w:space="0" w:color="auto"/>
              <w:left w:val="nil"/>
              <w:bottom w:val="single" w:sz="4" w:space="0" w:color="auto"/>
              <w:right w:val="nil"/>
            </w:tcBorders>
            <w:hideMark/>
          </w:tcPr>
          <w:p w14:paraId="5A92829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MVOTMA, 2018</w:t>
            </w:r>
          </w:p>
        </w:tc>
      </w:tr>
      <w:tr w:rsidR="009335B6" w:rsidRPr="009335B6" w14:paraId="7F9A399C" w14:textId="77777777" w:rsidTr="009335B6">
        <w:tc>
          <w:tcPr>
            <w:tcW w:w="2385" w:type="dxa"/>
            <w:tcBorders>
              <w:top w:val="single" w:sz="4" w:space="0" w:color="auto"/>
              <w:left w:val="nil"/>
              <w:bottom w:val="single" w:sz="4" w:space="0" w:color="auto"/>
              <w:right w:val="nil"/>
            </w:tcBorders>
            <w:hideMark/>
          </w:tcPr>
          <w:p w14:paraId="2C6944A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 xml:space="preserve">Streams – Laguna </w:t>
            </w:r>
            <w:proofErr w:type="spellStart"/>
            <w:r w:rsidRPr="009335B6">
              <w:rPr>
                <w:rFonts w:ascii="Times New Roman" w:hAnsi="Times New Roman" w:cs="Times New Roman"/>
                <w:sz w:val="24"/>
                <w:szCs w:val="24"/>
              </w:rPr>
              <w:t>Merín</w:t>
            </w:r>
            <w:proofErr w:type="spellEnd"/>
            <w:r w:rsidRPr="009335B6">
              <w:rPr>
                <w:rFonts w:ascii="Times New Roman" w:hAnsi="Times New Roman" w:cs="Times New Roman"/>
                <w:sz w:val="24"/>
                <w:szCs w:val="24"/>
              </w:rPr>
              <w:t xml:space="preserve"> Basin</w:t>
            </w:r>
          </w:p>
        </w:tc>
        <w:tc>
          <w:tcPr>
            <w:tcW w:w="2776" w:type="dxa"/>
            <w:tcBorders>
              <w:top w:val="single" w:sz="4" w:space="0" w:color="auto"/>
              <w:left w:val="nil"/>
              <w:bottom w:val="single" w:sz="4" w:space="0" w:color="auto"/>
              <w:right w:val="nil"/>
            </w:tcBorders>
            <w:hideMark/>
          </w:tcPr>
          <w:p w14:paraId="5D7BF9B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0.046 - 0.150</w:t>
            </w:r>
          </w:p>
        </w:tc>
        <w:tc>
          <w:tcPr>
            <w:tcW w:w="1484" w:type="dxa"/>
            <w:tcBorders>
              <w:top w:val="single" w:sz="4" w:space="0" w:color="auto"/>
              <w:left w:val="nil"/>
              <w:bottom w:val="single" w:sz="4" w:space="0" w:color="auto"/>
              <w:right w:val="nil"/>
            </w:tcBorders>
            <w:hideMark/>
          </w:tcPr>
          <w:p w14:paraId="7828822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1.100 - 1.300</w:t>
            </w:r>
          </w:p>
        </w:tc>
        <w:tc>
          <w:tcPr>
            <w:tcW w:w="1635" w:type="dxa"/>
            <w:tcBorders>
              <w:top w:val="single" w:sz="4" w:space="0" w:color="auto"/>
              <w:left w:val="nil"/>
              <w:bottom w:val="single" w:sz="4" w:space="0" w:color="auto"/>
              <w:right w:val="nil"/>
            </w:tcBorders>
            <w:hideMark/>
          </w:tcPr>
          <w:p w14:paraId="4516F33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&gt;100%</w:t>
            </w:r>
          </w:p>
        </w:tc>
        <w:tc>
          <w:tcPr>
            <w:tcW w:w="1545" w:type="dxa"/>
            <w:tcBorders>
              <w:top w:val="single" w:sz="4" w:space="0" w:color="auto"/>
              <w:left w:val="nil"/>
              <w:bottom w:val="single" w:sz="4" w:space="0" w:color="auto"/>
              <w:right w:val="nil"/>
            </w:tcBorders>
            <w:hideMark/>
          </w:tcPr>
          <w:p w14:paraId="1C7DF414" w14:textId="77777777" w:rsidR="009335B6" w:rsidRPr="009335B6" w:rsidRDefault="009335B6" w:rsidP="009335B6">
            <w:pPr>
              <w:rPr>
                <w:rFonts w:ascii="Times New Roman" w:hAnsi="Times New Roman" w:cs="Times New Roman"/>
                <w:sz w:val="24"/>
                <w:szCs w:val="24"/>
                <w:lang w:val="es-UY"/>
              </w:rPr>
            </w:pPr>
            <w:r w:rsidRPr="009335B6">
              <w:rPr>
                <w:rFonts w:ascii="Times New Roman" w:hAnsi="Times New Roman" w:cs="Times New Roman"/>
                <w:sz w:val="24"/>
                <w:szCs w:val="24"/>
                <w:lang w:val="es-UY"/>
              </w:rPr>
              <w:t>Cerro Largo, Treinta y Tres</w:t>
            </w:r>
          </w:p>
        </w:tc>
        <w:tc>
          <w:tcPr>
            <w:tcW w:w="1036" w:type="dxa"/>
            <w:tcBorders>
              <w:top w:val="single" w:sz="4" w:space="0" w:color="auto"/>
              <w:left w:val="nil"/>
              <w:bottom w:val="single" w:sz="4" w:space="0" w:color="auto"/>
              <w:right w:val="nil"/>
            </w:tcBorders>
            <w:hideMark/>
          </w:tcPr>
          <w:p w14:paraId="27096E58"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2015–2019</w:t>
            </w:r>
          </w:p>
        </w:tc>
        <w:tc>
          <w:tcPr>
            <w:tcW w:w="1266" w:type="dxa"/>
            <w:tcBorders>
              <w:top w:val="single" w:sz="4" w:space="0" w:color="auto"/>
              <w:left w:val="nil"/>
              <w:bottom w:val="single" w:sz="4" w:space="0" w:color="auto"/>
              <w:right w:val="nil"/>
            </w:tcBorders>
            <w:hideMark/>
          </w:tcPr>
          <w:p w14:paraId="2FDAFFF5" w14:textId="77777777" w:rsidR="009335B6" w:rsidRPr="009335B6" w:rsidRDefault="009335B6" w:rsidP="009335B6">
            <w:pPr>
              <w:rPr>
                <w:rFonts w:ascii="Times New Roman" w:hAnsi="Times New Roman" w:cs="Times New Roman"/>
                <w:sz w:val="24"/>
                <w:szCs w:val="24"/>
              </w:rPr>
            </w:pPr>
            <w:proofErr w:type="spellStart"/>
            <w:r w:rsidRPr="009335B6">
              <w:rPr>
                <w:rFonts w:ascii="Times New Roman" w:hAnsi="Times New Roman" w:cs="Times New Roman"/>
                <w:sz w:val="24"/>
                <w:szCs w:val="24"/>
              </w:rPr>
              <w:t>Ministerio</w:t>
            </w:r>
            <w:proofErr w:type="spellEnd"/>
            <w:r w:rsidRPr="009335B6">
              <w:rPr>
                <w:rFonts w:ascii="Times New Roman" w:hAnsi="Times New Roman" w:cs="Times New Roman"/>
                <w:sz w:val="24"/>
                <w:szCs w:val="24"/>
              </w:rPr>
              <w:t xml:space="preserve"> de </w:t>
            </w:r>
            <w:proofErr w:type="spellStart"/>
            <w:r w:rsidRPr="009335B6">
              <w:rPr>
                <w:rFonts w:ascii="Times New Roman" w:hAnsi="Times New Roman" w:cs="Times New Roman"/>
                <w:sz w:val="24"/>
                <w:szCs w:val="24"/>
              </w:rPr>
              <w:t>Ambiente</w:t>
            </w:r>
            <w:proofErr w:type="spellEnd"/>
            <w:r w:rsidRPr="009335B6">
              <w:rPr>
                <w:rFonts w:ascii="Times New Roman" w:hAnsi="Times New Roman" w:cs="Times New Roman"/>
                <w:sz w:val="24"/>
                <w:szCs w:val="24"/>
              </w:rPr>
              <w:t>, 2021</w:t>
            </w:r>
          </w:p>
        </w:tc>
      </w:tr>
      <w:tr w:rsidR="009335B6" w:rsidRPr="009335B6" w14:paraId="30B00060" w14:textId="77777777" w:rsidTr="009335B6">
        <w:tc>
          <w:tcPr>
            <w:tcW w:w="2385" w:type="dxa"/>
            <w:tcBorders>
              <w:top w:val="single" w:sz="4" w:space="0" w:color="auto"/>
              <w:left w:val="nil"/>
              <w:bottom w:val="single" w:sz="4" w:space="0" w:color="000000"/>
              <w:right w:val="nil"/>
            </w:tcBorders>
            <w:hideMark/>
          </w:tcPr>
          <w:p w14:paraId="5AA10D2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99 Nationwide (various rivers)</w:t>
            </w:r>
          </w:p>
        </w:tc>
        <w:tc>
          <w:tcPr>
            <w:tcW w:w="2776" w:type="dxa"/>
            <w:tcBorders>
              <w:top w:val="single" w:sz="4" w:space="0" w:color="auto"/>
              <w:left w:val="nil"/>
              <w:bottom w:val="single" w:sz="4" w:space="0" w:color="000000"/>
              <w:right w:val="nil"/>
            </w:tcBorders>
            <w:hideMark/>
          </w:tcPr>
          <w:p w14:paraId="6F83931F"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0.005 - 0.110 (Autumn)</w:t>
            </w:r>
          </w:p>
        </w:tc>
        <w:tc>
          <w:tcPr>
            <w:tcW w:w="1484" w:type="dxa"/>
            <w:tcBorders>
              <w:top w:val="single" w:sz="4" w:space="0" w:color="auto"/>
              <w:left w:val="nil"/>
              <w:bottom w:val="single" w:sz="4" w:space="0" w:color="000000"/>
              <w:right w:val="nil"/>
            </w:tcBorders>
            <w:hideMark/>
          </w:tcPr>
          <w:p w14:paraId="25AFFE4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0.002 - 0.030 (Autumn)</w:t>
            </w:r>
          </w:p>
        </w:tc>
        <w:tc>
          <w:tcPr>
            <w:tcW w:w="1635" w:type="dxa"/>
            <w:tcBorders>
              <w:top w:val="single" w:sz="4" w:space="0" w:color="auto"/>
              <w:left w:val="nil"/>
              <w:bottom w:val="single" w:sz="4" w:space="0" w:color="000000"/>
              <w:right w:val="nil"/>
            </w:tcBorders>
            <w:hideMark/>
          </w:tcPr>
          <w:p w14:paraId="6BBBBB7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~20–30%</w:t>
            </w:r>
          </w:p>
        </w:tc>
        <w:tc>
          <w:tcPr>
            <w:tcW w:w="1545" w:type="dxa"/>
            <w:tcBorders>
              <w:top w:val="single" w:sz="4" w:space="0" w:color="auto"/>
              <w:left w:val="nil"/>
              <w:bottom w:val="single" w:sz="4" w:space="0" w:color="000000"/>
              <w:right w:val="nil"/>
            </w:tcBorders>
            <w:hideMark/>
          </w:tcPr>
          <w:p w14:paraId="1C14C3B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15 departments</w:t>
            </w:r>
          </w:p>
        </w:tc>
        <w:tc>
          <w:tcPr>
            <w:tcW w:w="1036" w:type="dxa"/>
            <w:tcBorders>
              <w:top w:val="single" w:sz="4" w:space="0" w:color="auto"/>
              <w:left w:val="nil"/>
              <w:bottom w:val="single" w:sz="4" w:space="0" w:color="000000"/>
              <w:right w:val="nil"/>
            </w:tcBorders>
            <w:hideMark/>
          </w:tcPr>
          <w:p w14:paraId="63A50F88"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2014</w:t>
            </w:r>
          </w:p>
        </w:tc>
        <w:tc>
          <w:tcPr>
            <w:tcW w:w="1266" w:type="dxa"/>
            <w:tcBorders>
              <w:top w:val="single" w:sz="4" w:space="0" w:color="auto"/>
              <w:left w:val="nil"/>
              <w:bottom w:val="single" w:sz="4" w:space="0" w:color="000000"/>
              <w:right w:val="nil"/>
            </w:tcBorders>
            <w:hideMark/>
          </w:tcPr>
          <w:p w14:paraId="4E51BC4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Carrasco-Letelier et al., 2014</w:t>
            </w:r>
          </w:p>
        </w:tc>
      </w:tr>
    </w:tbl>
    <w:p w14:paraId="6B0B38E4" w14:textId="77777777" w:rsidR="009335B6" w:rsidRPr="009335B6" w:rsidRDefault="009335B6" w:rsidP="009335B6">
      <w:r w:rsidRPr="009335B6">
        <w:br w:type="page"/>
      </w:r>
    </w:p>
    <w:p w14:paraId="289270C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lastRenderedPageBreak/>
        <w:t>Table S2. Phosphorus concentration in water expressed in (10</w:t>
      </w:r>
      <w:r w:rsidRPr="009335B6">
        <w:rPr>
          <w:rFonts w:ascii="Times New Roman" w:hAnsi="Times New Roman" w:cs="Times New Roman"/>
          <w:b/>
          <w:bCs/>
          <w:sz w:val="24"/>
          <w:szCs w:val="24"/>
          <w:vertAlign w:val="superscript"/>
        </w:rPr>
        <w:t>⁻3</w:t>
      </w:r>
      <w:r w:rsidRPr="009335B6">
        <w:rPr>
          <w:rFonts w:ascii="Times New Roman" w:hAnsi="Times New Roman" w:cs="Times New Roman"/>
          <w:b/>
          <w:bCs/>
          <w:sz w:val="24"/>
          <w:szCs w:val="24"/>
        </w:rPr>
        <w:t xml:space="preserve"> mg PO₄–P L</w:t>
      </w:r>
      <w:r w:rsidRPr="009335B6">
        <w:rPr>
          <w:rFonts w:ascii="Times New Roman" w:hAnsi="Times New Roman" w:cs="Times New Roman"/>
          <w:b/>
          <w:bCs/>
          <w:sz w:val="24"/>
          <w:szCs w:val="24"/>
          <w:vertAlign w:val="superscript"/>
        </w:rPr>
        <w:t>-1</w:t>
      </w:r>
      <w:r w:rsidRPr="009335B6">
        <w:rPr>
          <w:rFonts w:ascii="Times New Roman" w:hAnsi="Times New Roman" w:cs="Times New Roman"/>
          <w:b/>
          <w:bCs/>
          <w:sz w:val="24"/>
          <w:szCs w:val="24"/>
        </w:rPr>
        <w:t>) for some cases of Argentina, Brazil, and Paraguay (Post-1980).</w:t>
      </w:r>
    </w:p>
    <w:tbl>
      <w:tblPr>
        <w:tblW w:w="11970" w:type="dxa"/>
        <w:tblInd w:w="33" w:type="dxa"/>
        <w:tblLayout w:type="fixed"/>
        <w:tblLook w:val="04A0" w:firstRow="1" w:lastRow="0" w:firstColumn="1" w:lastColumn="0" w:noHBand="0" w:noVBand="1"/>
      </w:tblPr>
      <w:tblGrid>
        <w:gridCol w:w="2204"/>
        <w:gridCol w:w="1876"/>
        <w:gridCol w:w="2054"/>
        <w:gridCol w:w="1936"/>
        <w:gridCol w:w="3900"/>
      </w:tblGrid>
      <w:tr w:rsidR="009335B6" w:rsidRPr="009335B6" w14:paraId="185F7140" w14:textId="77777777">
        <w:tc>
          <w:tcPr>
            <w:tcW w:w="2204" w:type="dxa"/>
            <w:tcBorders>
              <w:top w:val="single" w:sz="4" w:space="0" w:color="000000"/>
              <w:left w:val="nil"/>
              <w:bottom w:val="single" w:sz="4" w:space="0" w:color="000000"/>
              <w:right w:val="nil"/>
            </w:tcBorders>
            <w:hideMark/>
          </w:tcPr>
          <w:p w14:paraId="14FC3B3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Water Body</w:t>
            </w:r>
          </w:p>
        </w:tc>
        <w:tc>
          <w:tcPr>
            <w:tcW w:w="1876" w:type="dxa"/>
            <w:tcBorders>
              <w:top w:val="single" w:sz="4" w:space="0" w:color="000000"/>
              <w:left w:val="nil"/>
              <w:bottom w:val="single" w:sz="4" w:space="0" w:color="000000"/>
              <w:right w:val="nil"/>
            </w:tcBorders>
            <w:hideMark/>
          </w:tcPr>
          <w:p w14:paraId="2B7848B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TP</w:t>
            </w:r>
          </w:p>
        </w:tc>
        <w:tc>
          <w:tcPr>
            <w:tcW w:w="2054" w:type="dxa"/>
            <w:tcBorders>
              <w:top w:val="single" w:sz="4" w:space="0" w:color="000000"/>
              <w:left w:val="nil"/>
              <w:bottom w:val="single" w:sz="4" w:space="0" w:color="000000"/>
              <w:right w:val="nil"/>
            </w:tcBorders>
            <w:hideMark/>
          </w:tcPr>
          <w:p w14:paraId="408A032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SRP</w:t>
            </w:r>
          </w:p>
        </w:tc>
        <w:tc>
          <w:tcPr>
            <w:tcW w:w="1936" w:type="dxa"/>
            <w:tcBorders>
              <w:top w:val="single" w:sz="4" w:space="0" w:color="000000"/>
              <w:left w:val="nil"/>
              <w:bottom w:val="single" w:sz="4" w:space="0" w:color="000000"/>
              <w:right w:val="nil"/>
            </w:tcBorders>
            <w:hideMark/>
          </w:tcPr>
          <w:p w14:paraId="09A88A6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Year(s)</w:t>
            </w:r>
          </w:p>
        </w:tc>
        <w:tc>
          <w:tcPr>
            <w:tcW w:w="3900" w:type="dxa"/>
            <w:tcBorders>
              <w:top w:val="single" w:sz="4" w:space="0" w:color="000000"/>
              <w:left w:val="nil"/>
              <w:bottom w:val="single" w:sz="4" w:space="0" w:color="000000"/>
              <w:right w:val="nil"/>
            </w:tcBorders>
            <w:hideMark/>
          </w:tcPr>
          <w:p w14:paraId="21D2359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References</w:t>
            </w:r>
          </w:p>
        </w:tc>
      </w:tr>
      <w:tr w:rsidR="009335B6" w:rsidRPr="009335B6" w14:paraId="5274B2E1" w14:textId="77777777">
        <w:tc>
          <w:tcPr>
            <w:tcW w:w="2204" w:type="dxa"/>
            <w:tcBorders>
              <w:top w:val="single" w:sz="4" w:space="0" w:color="000000"/>
              <w:left w:val="nil"/>
              <w:bottom w:val="single" w:sz="4" w:space="0" w:color="auto"/>
              <w:right w:val="nil"/>
            </w:tcBorders>
            <w:hideMark/>
          </w:tcPr>
          <w:p w14:paraId="208853FB" w14:textId="77777777" w:rsidR="009335B6" w:rsidRPr="009335B6" w:rsidRDefault="009335B6" w:rsidP="009335B6">
            <w:pPr>
              <w:rPr>
                <w:rFonts w:ascii="Times New Roman" w:hAnsi="Times New Roman" w:cs="Times New Roman"/>
                <w:sz w:val="24"/>
                <w:szCs w:val="24"/>
              </w:rPr>
            </w:pPr>
            <w:proofErr w:type="spellStart"/>
            <w:r w:rsidRPr="009335B6">
              <w:rPr>
                <w:rFonts w:ascii="Times New Roman" w:hAnsi="Times New Roman" w:cs="Times New Roman"/>
                <w:sz w:val="24"/>
                <w:szCs w:val="24"/>
              </w:rPr>
              <w:t>Ypacaraí</w:t>
            </w:r>
            <w:proofErr w:type="spellEnd"/>
            <w:r w:rsidRPr="009335B6">
              <w:rPr>
                <w:rFonts w:ascii="Times New Roman" w:hAnsi="Times New Roman" w:cs="Times New Roman"/>
                <w:sz w:val="24"/>
                <w:szCs w:val="24"/>
              </w:rPr>
              <w:t xml:space="preserve"> Lake (Paraguay)</w:t>
            </w:r>
          </w:p>
        </w:tc>
        <w:tc>
          <w:tcPr>
            <w:tcW w:w="1876" w:type="dxa"/>
            <w:tcBorders>
              <w:top w:val="single" w:sz="4" w:space="0" w:color="000000"/>
              <w:left w:val="nil"/>
              <w:bottom w:val="single" w:sz="4" w:space="0" w:color="auto"/>
              <w:right w:val="nil"/>
            </w:tcBorders>
            <w:hideMark/>
          </w:tcPr>
          <w:p w14:paraId="290A92B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0.124 - 0.256</w:t>
            </w:r>
          </w:p>
        </w:tc>
        <w:tc>
          <w:tcPr>
            <w:tcW w:w="2054" w:type="dxa"/>
            <w:tcBorders>
              <w:top w:val="single" w:sz="4" w:space="0" w:color="000000"/>
              <w:left w:val="nil"/>
              <w:bottom w:val="single" w:sz="4" w:space="0" w:color="auto"/>
              <w:right w:val="nil"/>
            </w:tcBorders>
            <w:hideMark/>
          </w:tcPr>
          <w:p w14:paraId="15AB116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 xml:space="preserve">n.d. </w:t>
            </w:r>
          </w:p>
        </w:tc>
        <w:tc>
          <w:tcPr>
            <w:tcW w:w="1936" w:type="dxa"/>
            <w:tcBorders>
              <w:top w:val="single" w:sz="4" w:space="0" w:color="000000"/>
              <w:left w:val="nil"/>
              <w:bottom w:val="single" w:sz="4" w:space="0" w:color="auto"/>
              <w:right w:val="nil"/>
            </w:tcBorders>
            <w:hideMark/>
          </w:tcPr>
          <w:p w14:paraId="5EC69818"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1988; 2012 - 17</w:t>
            </w:r>
          </w:p>
        </w:tc>
        <w:tc>
          <w:tcPr>
            <w:tcW w:w="3900" w:type="dxa"/>
            <w:tcBorders>
              <w:top w:val="single" w:sz="4" w:space="0" w:color="000000"/>
              <w:left w:val="nil"/>
              <w:bottom w:val="single" w:sz="4" w:space="0" w:color="auto"/>
              <w:right w:val="nil"/>
            </w:tcBorders>
            <w:hideMark/>
          </w:tcPr>
          <w:p w14:paraId="03C5B31B" w14:textId="77777777" w:rsidR="009335B6" w:rsidRPr="009335B6" w:rsidRDefault="009335B6" w:rsidP="009335B6">
            <w:pPr>
              <w:rPr>
                <w:rFonts w:ascii="Times New Roman" w:hAnsi="Times New Roman" w:cs="Times New Roman"/>
                <w:sz w:val="24"/>
                <w:szCs w:val="24"/>
                <w:lang w:val="es-UY"/>
              </w:rPr>
            </w:pPr>
            <w:r w:rsidRPr="009335B6">
              <w:rPr>
                <w:rFonts w:ascii="Times New Roman" w:hAnsi="Times New Roman" w:cs="Times New Roman"/>
                <w:sz w:val="24"/>
                <w:szCs w:val="24"/>
                <w:lang w:val="es-UY"/>
              </w:rPr>
              <w:t>López Moreira M. et al., 2018</w:t>
            </w:r>
          </w:p>
        </w:tc>
      </w:tr>
      <w:tr w:rsidR="009335B6" w:rsidRPr="009335B6" w14:paraId="44444D72" w14:textId="77777777">
        <w:tc>
          <w:tcPr>
            <w:tcW w:w="2204" w:type="dxa"/>
            <w:tcBorders>
              <w:top w:val="single" w:sz="4" w:space="0" w:color="auto"/>
              <w:left w:val="nil"/>
              <w:bottom w:val="single" w:sz="4" w:space="0" w:color="auto"/>
              <w:right w:val="nil"/>
            </w:tcBorders>
            <w:hideMark/>
          </w:tcPr>
          <w:p w14:paraId="61FF31AF"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Paraná lakes (Argentina)</w:t>
            </w:r>
          </w:p>
        </w:tc>
        <w:tc>
          <w:tcPr>
            <w:tcW w:w="1876" w:type="dxa"/>
            <w:tcBorders>
              <w:top w:val="single" w:sz="4" w:space="0" w:color="auto"/>
              <w:left w:val="nil"/>
              <w:bottom w:val="single" w:sz="4" w:space="0" w:color="auto"/>
              <w:right w:val="nil"/>
            </w:tcBorders>
            <w:hideMark/>
          </w:tcPr>
          <w:p w14:paraId="1621FF8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0.005 to 0.004</w:t>
            </w:r>
          </w:p>
        </w:tc>
        <w:tc>
          <w:tcPr>
            <w:tcW w:w="2054" w:type="dxa"/>
            <w:tcBorders>
              <w:top w:val="single" w:sz="4" w:space="0" w:color="auto"/>
              <w:left w:val="nil"/>
              <w:bottom w:val="single" w:sz="4" w:space="0" w:color="auto"/>
              <w:right w:val="nil"/>
            </w:tcBorders>
            <w:hideMark/>
          </w:tcPr>
          <w:p w14:paraId="3153FE8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0.015 - 0.124</w:t>
            </w:r>
          </w:p>
        </w:tc>
        <w:tc>
          <w:tcPr>
            <w:tcW w:w="1936" w:type="dxa"/>
            <w:tcBorders>
              <w:top w:val="single" w:sz="4" w:space="0" w:color="auto"/>
              <w:left w:val="nil"/>
              <w:bottom w:val="single" w:sz="4" w:space="0" w:color="auto"/>
              <w:right w:val="nil"/>
            </w:tcBorders>
            <w:hideMark/>
          </w:tcPr>
          <w:p w14:paraId="7E57AAB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1992 - 1997</w:t>
            </w:r>
          </w:p>
        </w:tc>
        <w:tc>
          <w:tcPr>
            <w:tcW w:w="3900" w:type="dxa"/>
            <w:tcBorders>
              <w:top w:val="single" w:sz="4" w:space="0" w:color="auto"/>
              <w:left w:val="nil"/>
              <w:bottom w:val="single" w:sz="4" w:space="0" w:color="auto"/>
              <w:right w:val="nil"/>
            </w:tcBorders>
            <w:hideMark/>
          </w:tcPr>
          <w:p w14:paraId="043D71D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 xml:space="preserve">Carignan and </w:t>
            </w:r>
            <w:proofErr w:type="spellStart"/>
            <w:r w:rsidRPr="009335B6">
              <w:rPr>
                <w:rFonts w:ascii="Times New Roman" w:hAnsi="Times New Roman" w:cs="Times New Roman"/>
                <w:sz w:val="24"/>
                <w:szCs w:val="24"/>
              </w:rPr>
              <w:t>Vaithiyanathan</w:t>
            </w:r>
            <w:proofErr w:type="spellEnd"/>
            <w:r w:rsidRPr="009335B6">
              <w:rPr>
                <w:rFonts w:ascii="Times New Roman" w:hAnsi="Times New Roman" w:cs="Times New Roman"/>
                <w:sz w:val="24"/>
                <w:szCs w:val="24"/>
              </w:rPr>
              <w:t>, 1999</w:t>
            </w:r>
          </w:p>
        </w:tc>
      </w:tr>
      <w:tr w:rsidR="009335B6" w:rsidRPr="009335B6" w14:paraId="24D1DDE4" w14:textId="77777777">
        <w:tc>
          <w:tcPr>
            <w:tcW w:w="2204" w:type="dxa"/>
            <w:tcBorders>
              <w:top w:val="single" w:sz="4" w:space="0" w:color="auto"/>
              <w:left w:val="nil"/>
              <w:bottom w:val="single" w:sz="4" w:space="0" w:color="auto"/>
              <w:right w:val="nil"/>
            </w:tcBorders>
            <w:hideMark/>
          </w:tcPr>
          <w:p w14:paraId="0B5BE52F"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Salado River (Argentina)</w:t>
            </w:r>
          </w:p>
        </w:tc>
        <w:tc>
          <w:tcPr>
            <w:tcW w:w="1876" w:type="dxa"/>
            <w:tcBorders>
              <w:top w:val="single" w:sz="4" w:space="0" w:color="auto"/>
              <w:left w:val="nil"/>
              <w:bottom w:val="single" w:sz="4" w:space="0" w:color="auto"/>
              <w:right w:val="nil"/>
            </w:tcBorders>
            <w:hideMark/>
          </w:tcPr>
          <w:p w14:paraId="5F73FC9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0.200 - 1.320</w:t>
            </w:r>
          </w:p>
        </w:tc>
        <w:tc>
          <w:tcPr>
            <w:tcW w:w="2054" w:type="dxa"/>
            <w:tcBorders>
              <w:top w:val="single" w:sz="4" w:space="0" w:color="auto"/>
              <w:left w:val="nil"/>
              <w:bottom w:val="single" w:sz="4" w:space="0" w:color="auto"/>
              <w:right w:val="nil"/>
            </w:tcBorders>
            <w:hideMark/>
          </w:tcPr>
          <w:p w14:paraId="7FADEF6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 xml:space="preserve">n.d. </w:t>
            </w:r>
          </w:p>
        </w:tc>
        <w:tc>
          <w:tcPr>
            <w:tcW w:w="1936" w:type="dxa"/>
            <w:tcBorders>
              <w:top w:val="single" w:sz="4" w:space="0" w:color="auto"/>
              <w:left w:val="nil"/>
              <w:bottom w:val="single" w:sz="4" w:space="0" w:color="auto"/>
              <w:right w:val="nil"/>
            </w:tcBorders>
            <w:hideMark/>
          </w:tcPr>
          <w:p w14:paraId="4EC5B48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2006 - 2007</w:t>
            </w:r>
          </w:p>
        </w:tc>
        <w:tc>
          <w:tcPr>
            <w:tcW w:w="3900" w:type="dxa"/>
            <w:tcBorders>
              <w:top w:val="single" w:sz="4" w:space="0" w:color="auto"/>
              <w:left w:val="nil"/>
              <w:bottom w:val="single" w:sz="4" w:space="0" w:color="auto"/>
              <w:right w:val="nil"/>
            </w:tcBorders>
            <w:hideMark/>
          </w:tcPr>
          <w:p w14:paraId="11AC94B7" w14:textId="77777777" w:rsidR="009335B6" w:rsidRPr="009335B6" w:rsidRDefault="009335B6" w:rsidP="009335B6">
            <w:pPr>
              <w:rPr>
                <w:rFonts w:ascii="Times New Roman" w:hAnsi="Times New Roman" w:cs="Times New Roman"/>
                <w:sz w:val="24"/>
                <w:szCs w:val="24"/>
              </w:rPr>
            </w:pPr>
            <w:proofErr w:type="spellStart"/>
            <w:r w:rsidRPr="009335B6">
              <w:rPr>
                <w:rFonts w:ascii="Times New Roman" w:hAnsi="Times New Roman" w:cs="Times New Roman"/>
                <w:sz w:val="24"/>
                <w:szCs w:val="24"/>
              </w:rPr>
              <w:t>Moscuzza</w:t>
            </w:r>
            <w:proofErr w:type="spellEnd"/>
            <w:r w:rsidRPr="009335B6">
              <w:rPr>
                <w:rFonts w:ascii="Times New Roman" w:hAnsi="Times New Roman" w:cs="Times New Roman"/>
                <w:sz w:val="24"/>
                <w:szCs w:val="24"/>
              </w:rPr>
              <w:t xml:space="preserve"> et al., 2007</w:t>
            </w:r>
          </w:p>
        </w:tc>
      </w:tr>
      <w:tr w:rsidR="009335B6" w:rsidRPr="009335B6" w14:paraId="06418EBD" w14:textId="77777777">
        <w:tc>
          <w:tcPr>
            <w:tcW w:w="2204" w:type="dxa"/>
            <w:tcBorders>
              <w:top w:val="single" w:sz="4" w:space="0" w:color="auto"/>
              <w:left w:val="nil"/>
              <w:bottom w:val="single" w:sz="4" w:space="0" w:color="auto"/>
              <w:right w:val="nil"/>
            </w:tcBorders>
            <w:hideMark/>
          </w:tcPr>
          <w:p w14:paraId="223A2A27" w14:textId="77777777" w:rsidR="009335B6" w:rsidRPr="009335B6" w:rsidRDefault="009335B6" w:rsidP="009335B6">
            <w:pPr>
              <w:rPr>
                <w:rFonts w:ascii="Times New Roman" w:hAnsi="Times New Roman" w:cs="Times New Roman"/>
                <w:sz w:val="24"/>
                <w:szCs w:val="24"/>
              </w:rPr>
            </w:pPr>
            <w:proofErr w:type="spellStart"/>
            <w:r w:rsidRPr="009335B6">
              <w:rPr>
                <w:rFonts w:ascii="Times New Roman" w:hAnsi="Times New Roman" w:cs="Times New Roman"/>
                <w:sz w:val="24"/>
                <w:szCs w:val="24"/>
              </w:rPr>
              <w:t>Pampulha</w:t>
            </w:r>
            <w:proofErr w:type="spellEnd"/>
            <w:r w:rsidRPr="009335B6">
              <w:rPr>
                <w:rFonts w:ascii="Times New Roman" w:hAnsi="Times New Roman" w:cs="Times New Roman"/>
                <w:sz w:val="24"/>
                <w:szCs w:val="24"/>
              </w:rPr>
              <w:t xml:space="preserve"> Reservoir (Brazil)</w:t>
            </w:r>
          </w:p>
        </w:tc>
        <w:tc>
          <w:tcPr>
            <w:tcW w:w="1876" w:type="dxa"/>
            <w:tcBorders>
              <w:top w:val="single" w:sz="4" w:space="0" w:color="auto"/>
              <w:left w:val="nil"/>
              <w:bottom w:val="single" w:sz="4" w:space="0" w:color="auto"/>
              <w:right w:val="nil"/>
            </w:tcBorders>
            <w:hideMark/>
          </w:tcPr>
          <w:p w14:paraId="2C6FE818"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0.100 - 0.300</w:t>
            </w:r>
          </w:p>
        </w:tc>
        <w:tc>
          <w:tcPr>
            <w:tcW w:w="2054" w:type="dxa"/>
            <w:tcBorders>
              <w:top w:val="single" w:sz="4" w:space="0" w:color="auto"/>
              <w:left w:val="nil"/>
              <w:bottom w:val="single" w:sz="4" w:space="0" w:color="auto"/>
              <w:right w:val="nil"/>
            </w:tcBorders>
            <w:hideMark/>
          </w:tcPr>
          <w:p w14:paraId="5C27B6F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n.d.</w:t>
            </w:r>
          </w:p>
        </w:tc>
        <w:tc>
          <w:tcPr>
            <w:tcW w:w="1936" w:type="dxa"/>
            <w:tcBorders>
              <w:top w:val="single" w:sz="4" w:space="0" w:color="auto"/>
              <w:left w:val="nil"/>
              <w:bottom w:val="single" w:sz="4" w:space="0" w:color="auto"/>
              <w:right w:val="nil"/>
            </w:tcBorders>
            <w:hideMark/>
          </w:tcPr>
          <w:p w14:paraId="7AA2D7D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1990s - 2000s</w:t>
            </w:r>
          </w:p>
        </w:tc>
        <w:tc>
          <w:tcPr>
            <w:tcW w:w="3900" w:type="dxa"/>
            <w:tcBorders>
              <w:top w:val="single" w:sz="4" w:space="0" w:color="auto"/>
              <w:left w:val="nil"/>
              <w:bottom w:val="single" w:sz="4" w:space="0" w:color="auto"/>
              <w:right w:val="nil"/>
            </w:tcBorders>
            <w:hideMark/>
          </w:tcPr>
          <w:p w14:paraId="543EBF66" w14:textId="77777777" w:rsidR="009335B6" w:rsidRPr="009335B6" w:rsidRDefault="009335B6" w:rsidP="009335B6">
            <w:pPr>
              <w:rPr>
                <w:rFonts w:ascii="Times New Roman" w:hAnsi="Times New Roman" w:cs="Times New Roman"/>
                <w:sz w:val="24"/>
                <w:szCs w:val="24"/>
                <w:lang w:val="es-UY"/>
              </w:rPr>
            </w:pPr>
            <w:r w:rsidRPr="009335B6">
              <w:rPr>
                <w:rFonts w:ascii="Times New Roman" w:hAnsi="Times New Roman" w:cs="Times New Roman"/>
                <w:sz w:val="24"/>
                <w:szCs w:val="24"/>
                <w:lang w:val="es-UY"/>
              </w:rPr>
              <w:t>Pinto-Coelho and Barcelos Greco, 1999</w:t>
            </w:r>
          </w:p>
        </w:tc>
      </w:tr>
      <w:tr w:rsidR="009335B6" w:rsidRPr="009335B6" w14:paraId="4C8CBDD6" w14:textId="77777777">
        <w:tc>
          <w:tcPr>
            <w:tcW w:w="2204" w:type="dxa"/>
            <w:tcBorders>
              <w:top w:val="single" w:sz="4" w:space="0" w:color="auto"/>
              <w:left w:val="nil"/>
              <w:bottom w:val="single" w:sz="4" w:space="0" w:color="000000"/>
              <w:right w:val="nil"/>
            </w:tcBorders>
            <w:hideMark/>
          </w:tcPr>
          <w:p w14:paraId="1C0DA49B" w14:textId="77777777" w:rsidR="009335B6" w:rsidRPr="009335B6" w:rsidRDefault="009335B6" w:rsidP="009335B6">
            <w:pPr>
              <w:rPr>
                <w:rFonts w:ascii="Times New Roman" w:hAnsi="Times New Roman" w:cs="Times New Roman"/>
                <w:sz w:val="24"/>
                <w:szCs w:val="24"/>
              </w:rPr>
            </w:pPr>
            <w:proofErr w:type="spellStart"/>
            <w:r w:rsidRPr="009335B6">
              <w:rPr>
                <w:rFonts w:ascii="Times New Roman" w:hAnsi="Times New Roman" w:cs="Times New Roman"/>
                <w:sz w:val="24"/>
                <w:szCs w:val="24"/>
              </w:rPr>
              <w:t>Orós</w:t>
            </w:r>
            <w:proofErr w:type="spellEnd"/>
            <w:r w:rsidRPr="009335B6">
              <w:rPr>
                <w:rFonts w:ascii="Times New Roman" w:hAnsi="Times New Roman" w:cs="Times New Roman"/>
                <w:sz w:val="24"/>
                <w:szCs w:val="24"/>
              </w:rPr>
              <w:t xml:space="preserve"> Reservoir (Brazil)</w:t>
            </w:r>
          </w:p>
        </w:tc>
        <w:tc>
          <w:tcPr>
            <w:tcW w:w="1876" w:type="dxa"/>
            <w:tcBorders>
              <w:top w:val="single" w:sz="4" w:space="0" w:color="auto"/>
              <w:left w:val="nil"/>
              <w:bottom w:val="single" w:sz="4" w:space="0" w:color="000000"/>
              <w:right w:val="nil"/>
            </w:tcBorders>
            <w:hideMark/>
          </w:tcPr>
          <w:p w14:paraId="52708DC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0.030 - 0.140</w:t>
            </w:r>
          </w:p>
        </w:tc>
        <w:tc>
          <w:tcPr>
            <w:tcW w:w="2054" w:type="dxa"/>
            <w:tcBorders>
              <w:top w:val="single" w:sz="4" w:space="0" w:color="auto"/>
              <w:left w:val="nil"/>
              <w:bottom w:val="single" w:sz="4" w:space="0" w:color="000000"/>
              <w:right w:val="nil"/>
            </w:tcBorders>
            <w:hideMark/>
          </w:tcPr>
          <w:p w14:paraId="42FBB90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n.d.</w:t>
            </w:r>
          </w:p>
        </w:tc>
        <w:tc>
          <w:tcPr>
            <w:tcW w:w="1936" w:type="dxa"/>
            <w:tcBorders>
              <w:top w:val="single" w:sz="4" w:space="0" w:color="auto"/>
              <w:left w:val="nil"/>
              <w:bottom w:val="single" w:sz="4" w:space="0" w:color="000000"/>
              <w:right w:val="nil"/>
            </w:tcBorders>
            <w:hideMark/>
          </w:tcPr>
          <w:p w14:paraId="4DF5073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2008 - 2012</w:t>
            </w:r>
          </w:p>
        </w:tc>
        <w:tc>
          <w:tcPr>
            <w:tcW w:w="3900" w:type="dxa"/>
            <w:tcBorders>
              <w:top w:val="single" w:sz="4" w:space="0" w:color="auto"/>
              <w:left w:val="nil"/>
              <w:bottom w:val="single" w:sz="4" w:space="0" w:color="000000"/>
              <w:right w:val="nil"/>
            </w:tcBorders>
            <w:hideMark/>
          </w:tcPr>
          <w:p w14:paraId="4C21ECF8"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Andrade et al., 2020</w:t>
            </w:r>
          </w:p>
        </w:tc>
      </w:tr>
    </w:tbl>
    <w:p w14:paraId="4E5B891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br w:type="page"/>
      </w:r>
    </w:p>
    <w:p w14:paraId="28A81D9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lastRenderedPageBreak/>
        <w:t>S3. Data availability</w:t>
      </w:r>
    </w:p>
    <w:p w14:paraId="5483ED9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Standard solutions dataset (“ss”), river samples dataset (“Rivers”), and full R code used for statistical analysis and figure generation is available in the GitLab repository (</w:t>
      </w:r>
      <w:hyperlink r:id="rId62" w:history="1">
        <w:r w:rsidRPr="009335B6">
          <w:rPr>
            <w:rStyle w:val="Hipervnculo"/>
            <w:rFonts w:ascii="Times New Roman" w:hAnsi="Times New Roman" w:cs="Times New Roman"/>
            <w:sz w:val="24"/>
            <w:szCs w:val="24"/>
          </w:rPr>
          <w:t>https://gitlab.com/lcarrascol/reflectoquant_prs/snippets/6032465.git</w:t>
        </w:r>
      </w:hyperlink>
      <w:r w:rsidRPr="009335B6">
        <w:rPr>
          <w:rFonts w:ascii="Times New Roman" w:hAnsi="Times New Roman" w:cs="Times New Roman"/>
          <w:sz w:val="24"/>
          <w:szCs w:val="24"/>
        </w:rPr>
        <w:t>).</w:t>
      </w:r>
    </w:p>
    <w:p w14:paraId="643E9B7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b/>
          <w:bCs/>
          <w:sz w:val="24"/>
          <w:szCs w:val="24"/>
        </w:rPr>
        <w:t>S4. Model performance summary</w:t>
      </w:r>
    </w:p>
    <w:p w14:paraId="50DFD7E3" w14:textId="77777777" w:rsidR="009335B6" w:rsidRPr="009335B6" w:rsidRDefault="009335B6" w:rsidP="009335B6">
      <w:pPr>
        <w:rPr>
          <w:rFonts w:ascii="Times New Roman" w:hAnsi="Times New Roman" w:cs="Times New Roman"/>
          <w:b/>
          <w:bCs/>
          <w:sz w:val="24"/>
          <w:szCs w:val="24"/>
        </w:rPr>
      </w:pPr>
    </w:p>
    <w:tbl>
      <w:tblPr>
        <w:tblW w:w="12195" w:type="dxa"/>
        <w:tblInd w:w="-55" w:type="dxa"/>
        <w:tblLayout w:type="fixed"/>
        <w:tblLook w:val="0600" w:firstRow="0" w:lastRow="0" w:firstColumn="0" w:lastColumn="0" w:noHBand="1" w:noVBand="1"/>
      </w:tblPr>
      <w:tblGrid>
        <w:gridCol w:w="1815"/>
        <w:gridCol w:w="722"/>
        <w:gridCol w:w="974"/>
        <w:gridCol w:w="1186"/>
        <w:gridCol w:w="1124"/>
        <w:gridCol w:w="1516"/>
        <w:gridCol w:w="1695"/>
        <w:gridCol w:w="1229"/>
        <w:gridCol w:w="1934"/>
      </w:tblGrid>
      <w:tr w:rsidR="009335B6" w:rsidRPr="009335B6" w14:paraId="10084B14" w14:textId="77777777">
        <w:trPr>
          <w:trHeight w:val="1070"/>
        </w:trPr>
        <w:tc>
          <w:tcPr>
            <w:tcW w:w="1814" w:type="dxa"/>
            <w:tcBorders>
              <w:top w:val="single" w:sz="8" w:space="0" w:color="000000"/>
              <w:left w:val="nil"/>
              <w:bottom w:val="single" w:sz="6" w:space="0" w:color="000000"/>
              <w:right w:val="nil"/>
            </w:tcBorders>
            <w:hideMark/>
          </w:tcPr>
          <w:p w14:paraId="3669F24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Model / Dataset</w:t>
            </w:r>
          </w:p>
        </w:tc>
        <w:tc>
          <w:tcPr>
            <w:tcW w:w="721" w:type="dxa"/>
            <w:tcBorders>
              <w:top w:val="single" w:sz="8" w:space="0" w:color="000000"/>
              <w:left w:val="nil"/>
              <w:bottom w:val="single" w:sz="6" w:space="0" w:color="000000"/>
              <w:right w:val="nil"/>
            </w:tcBorders>
            <w:hideMark/>
          </w:tcPr>
          <w:p w14:paraId="197FC32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w:t>
            </w:r>
          </w:p>
        </w:tc>
        <w:tc>
          <w:tcPr>
            <w:tcW w:w="974" w:type="dxa"/>
            <w:tcBorders>
              <w:top w:val="single" w:sz="8" w:space="0" w:color="000000"/>
              <w:left w:val="nil"/>
              <w:bottom w:val="single" w:sz="6" w:space="0" w:color="000000"/>
              <w:right w:val="nil"/>
            </w:tcBorders>
            <w:hideMark/>
          </w:tcPr>
          <w:p w14:paraId="556EFF6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Adj. R²</w:t>
            </w:r>
          </w:p>
        </w:tc>
        <w:tc>
          <w:tcPr>
            <w:tcW w:w="1186" w:type="dxa"/>
            <w:tcBorders>
              <w:top w:val="single" w:sz="8" w:space="0" w:color="000000"/>
              <w:left w:val="nil"/>
              <w:bottom w:val="single" w:sz="6" w:space="0" w:color="000000"/>
              <w:right w:val="nil"/>
            </w:tcBorders>
            <w:hideMark/>
          </w:tcPr>
          <w:p w14:paraId="1E48971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RMSE (mg L⁻¹)</w:t>
            </w:r>
          </w:p>
        </w:tc>
        <w:tc>
          <w:tcPr>
            <w:tcW w:w="1124" w:type="dxa"/>
            <w:tcBorders>
              <w:top w:val="single" w:sz="8" w:space="0" w:color="000000"/>
              <w:left w:val="nil"/>
              <w:bottom w:val="single" w:sz="6" w:space="0" w:color="000000"/>
              <w:right w:val="nil"/>
            </w:tcBorders>
            <w:hideMark/>
          </w:tcPr>
          <w:p w14:paraId="61D824B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MAE (mg L⁻¹)</w:t>
            </w:r>
          </w:p>
        </w:tc>
        <w:tc>
          <w:tcPr>
            <w:tcW w:w="1516" w:type="dxa"/>
            <w:tcBorders>
              <w:top w:val="single" w:sz="8" w:space="0" w:color="000000"/>
              <w:left w:val="nil"/>
              <w:bottom w:val="single" w:sz="6" w:space="0" w:color="000000"/>
              <w:right w:val="nil"/>
            </w:tcBorders>
            <w:hideMark/>
          </w:tcPr>
          <w:p w14:paraId="3C04790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Shapiro-Wilk p</w:t>
            </w:r>
          </w:p>
        </w:tc>
        <w:tc>
          <w:tcPr>
            <w:tcW w:w="1695" w:type="dxa"/>
            <w:tcBorders>
              <w:top w:val="single" w:sz="8" w:space="0" w:color="000000"/>
              <w:left w:val="nil"/>
              <w:bottom w:val="single" w:sz="6" w:space="0" w:color="000000"/>
              <w:right w:val="nil"/>
            </w:tcBorders>
            <w:hideMark/>
          </w:tcPr>
          <w:p w14:paraId="12A3325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Breusch-Pagan p</w:t>
            </w:r>
          </w:p>
        </w:tc>
        <w:tc>
          <w:tcPr>
            <w:tcW w:w="1229" w:type="dxa"/>
            <w:tcBorders>
              <w:top w:val="single" w:sz="8" w:space="0" w:color="000000"/>
              <w:left w:val="nil"/>
              <w:bottom w:val="single" w:sz="6" w:space="0" w:color="000000"/>
              <w:right w:val="nil"/>
            </w:tcBorders>
            <w:hideMark/>
          </w:tcPr>
          <w:p w14:paraId="19CF340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Levene’s p</w:t>
            </w:r>
          </w:p>
        </w:tc>
        <w:tc>
          <w:tcPr>
            <w:tcW w:w="1934" w:type="dxa"/>
            <w:tcBorders>
              <w:top w:val="single" w:sz="8" w:space="0" w:color="000000"/>
              <w:left w:val="nil"/>
              <w:bottom w:val="single" w:sz="6" w:space="0" w:color="000000"/>
              <w:right w:val="nil"/>
            </w:tcBorders>
            <w:hideMark/>
          </w:tcPr>
          <w:p w14:paraId="3D0BFD7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Notes</w:t>
            </w:r>
          </w:p>
        </w:tc>
      </w:tr>
      <w:tr w:rsidR="009335B6" w:rsidRPr="009335B6" w14:paraId="1B0C1C0C" w14:textId="77777777">
        <w:trPr>
          <w:trHeight w:val="785"/>
        </w:trPr>
        <w:tc>
          <w:tcPr>
            <w:tcW w:w="1814" w:type="dxa"/>
            <w:tcBorders>
              <w:top w:val="single" w:sz="6" w:space="0" w:color="000000"/>
              <w:left w:val="nil"/>
              <w:bottom w:val="single" w:sz="4" w:space="0" w:color="auto"/>
              <w:right w:val="nil"/>
            </w:tcBorders>
            <w:hideMark/>
          </w:tcPr>
          <w:p w14:paraId="2934E74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Standards – Simple linear</w:t>
            </w:r>
          </w:p>
        </w:tc>
        <w:tc>
          <w:tcPr>
            <w:tcW w:w="721" w:type="dxa"/>
            <w:tcBorders>
              <w:top w:val="single" w:sz="6" w:space="0" w:color="000000"/>
              <w:left w:val="nil"/>
              <w:bottom w:val="single" w:sz="4" w:space="0" w:color="auto"/>
              <w:right w:val="nil"/>
            </w:tcBorders>
            <w:hideMark/>
          </w:tcPr>
          <w:p w14:paraId="6D9869C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30</w:t>
            </w:r>
          </w:p>
        </w:tc>
        <w:tc>
          <w:tcPr>
            <w:tcW w:w="974" w:type="dxa"/>
            <w:tcBorders>
              <w:top w:val="single" w:sz="6" w:space="0" w:color="000000"/>
              <w:left w:val="nil"/>
              <w:bottom w:val="single" w:sz="4" w:space="0" w:color="auto"/>
              <w:right w:val="nil"/>
            </w:tcBorders>
            <w:hideMark/>
          </w:tcPr>
          <w:p w14:paraId="0B1FB85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0.9720</w:t>
            </w:r>
          </w:p>
        </w:tc>
        <w:tc>
          <w:tcPr>
            <w:tcW w:w="1186" w:type="dxa"/>
            <w:tcBorders>
              <w:top w:val="single" w:sz="6" w:space="0" w:color="000000"/>
              <w:left w:val="nil"/>
              <w:bottom w:val="single" w:sz="4" w:space="0" w:color="auto"/>
              <w:right w:val="nil"/>
            </w:tcBorders>
            <w:hideMark/>
          </w:tcPr>
          <w:p w14:paraId="5AF087FF"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0.0103</w:t>
            </w:r>
          </w:p>
        </w:tc>
        <w:tc>
          <w:tcPr>
            <w:tcW w:w="1124" w:type="dxa"/>
            <w:tcBorders>
              <w:top w:val="single" w:sz="6" w:space="0" w:color="000000"/>
              <w:left w:val="nil"/>
              <w:bottom w:val="single" w:sz="4" w:space="0" w:color="auto"/>
              <w:right w:val="nil"/>
            </w:tcBorders>
            <w:hideMark/>
          </w:tcPr>
          <w:p w14:paraId="589E350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0.0091</w:t>
            </w:r>
          </w:p>
        </w:tc>
        <w:tc>
          <w:tcPr>
            <w:tcW w:w="1516" w:type="dxa"/>
            <w:tcBorders>
              <w:top w:val="single" w:sz="6" w:space="0" w:color="000000"/>
              <w:left w:val="nil"/>
              <w:bottom w:val="single" w:sz="4" w:space="0" w:color="auto"/>
              <w:right w:val="nil"/>
            </w:tcBorders>
            <w:hideMark/>
          </w:tcPr>
          <w:p w14:paraId="48651CE4"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0.0500</w:t>
            </w:r>
          </w:p>
        </w:tc>
        <w:tc>
          <w:tcPr>
            <w:tcW w:w="1695" w:type="dxa"/>
            <w:tcBorders>
              <w:top w:val="single" w:sz="6" w:space="0" w:color="000000"/>
              <w:left w:val="nil"/>
              <w:bottom w:val="single" w:sz="4" w:space="0" w:color="auto"/>
              <w:right w:val="nil"/>
            </w:tcBorders>
            <w:hideMark/>
          </w:tcPr>
          <w:p w14:paraId="6A123E6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0.1047</w:t>
            </w:r>
          </w:p>
        </w:tc>
        <w:tc>
          <w:tcPr>
            <w:tcW w:w="1229" w:type="dxa"/>
            <w:tcBorders>
              <w:top w:val="single" w:sz="6" w:space="0" w:color="000000"/>
              <w:left w:val="nil"/>
              <w:bottom w:val="single" w:sz="4" w:space="0" w:color="auto"/>
              <w:right w:val="nil"/>
            </w:tcBorders>
            <w:hideMark/>
          </w:tcPr>
          <w:p w14:paraId="58EFEA2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0.4410</w:t>
            </w:r>
          </w:p>
        </w:tc>
        <w:tc>
          <w:tcPr>
            <w:tcW w:w="1934" w:type="dxa"/>
            <w:tcBorders>
              <w:top w:val="single" w:sz="6" w:space="0" w:color="000000"/>
              <w:left w:val="nil"/>
              <w:bottom w:val="single" w:sz="4" w:space="0" w:color="auto"/>
              <w:right w:val="nil"/>
            </w:tcBorders>
            <w:hideMark/>
          </w:tcPr>
          <w:p w14:paraId="06F5B42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Best fit for standards</w:t>
            </w:r>
          </w:p>
        </w:tc>
      </w:tr>
      <w:tr w:rsidR="009335B6" w:rsidRPr="009335B6" w14:paraId="0AF55B2C" w14:textId="77777777">
        <w:trPr>
          <w:trHeight w:val="785"/>
        </w:trPr>
        <w:tc>
          <w:tcPr>
            <w:tcW w:w="1814" w:type="dxa"/>
            <w:tcBorders>
              <w:top w:val="single" w:sz="4" w:space="0" w:color="auto"/>
              <w:left w:val="nil"/>
              <w:bottom w:val="single" w:sz="4" w:space="0" w:color="auto"/>
              <w:right w:val="nil"/>
            </w:tcBorders>
            <w:hideMark/>
          </w:tcPr>
          <w:p w14:paraId="3A9CCBD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Standards – Logarithmic</w:t>
            </w:r>
          </w:p>
        </w:tc>
        <w:tc>
          <w:tcPr>
            <w:tcW w:w="721" w:type="dxa"/>
            <w:tcBorders>
              <w:top w:val="single" w:sz="4" w:space="0" w:color="auto"/>
              <w:left w:val="nil"/>
              <w:bottom w:val="single" w:sz="4" w:space="0" w:color="auto"/>
              <w:right w:val="nil"/>
            </w:tcBorders>
            <w:hideMark/>
          </w:tcPr>
          <w:p w14:paraId="2C446B3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30</w:t>
            </w:r>
          </w:p>
        </w:tc>
        <w:tc>
          <w:tcPr>
            <w:tcW w:w="974" w:type="dxa"/>
            <w:tcBorders>
              <w:top w:val="single" w:sz="4" w:space="0" w:color="auto"/>
              <w:left w:val="nil"/>
              <w:bottom w:val="single" w:sz="4" w:space="0" w:color="auto"/>
              <w:right w:val="nil"/>
            </w:tcBorders>
            <w:hideMark/>
          </w:tcPr>
          <w:p w14:paraId="57D1153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0.8563</w:t>
            </w:r>
          </w:p>
        </w:tc>
        <w:tc>
          <w:tcPr>
            <w:tcW w:w="1186" w:type="dxa"/>
            <w:tcBorders>
              <w:top w:val="single" w:sz="4" w:space="0" w:color="auto"/>
              <w:left w:val="nil"/>
              <w:bottom w:val="single" w:sz="4" w:space="0" w:color="auto"/>
              <w:right w:val="nil"/>
            </w:tcBorders>
            <w:hideMark/>
          </w:tcPr>
          <w:p w14:paraId="0B278D5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2.6341</w:t>
            </w:r>
          </w:p>
        </w:tc>
        <w:tc>
          <w:tcPr>
            <w:tcW w:w="1124" w:type="dxa"/>
            <w:tcBorders>
              <w:top w:val="single" w:sz="4" w:space="0" w:color="auto"/>
              <w:left w:val="nil"/>
              <w:bottom w:val="single" w:sz="4" w:space="0" w:color="auto"/>
              <w:right w:val="nil"/>
            </w:tcBorders>
            <w:hideMark/>
          </w:tcPr>
          <w:p w14:paraId="0766ECF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2.5827</w:t>
            </w:r>
          </w:p>
        </w:tc>
        <w:tc>
          <w:tcPr>
            <w:tcW w:w="1516" w:type="dxa"/>
            <w:tcBorders>
              <w:top w:val="single" w:sz="4" w:space="0" w:color="auto"/>
              <w:left w:val="nil"/>
              <w:bottom w:val="single" w:sz="4" w:space="0" w:color="auto"/>
              <w:right w:val="nil"/>
            </w:tcBorders>
            <w:hideMark/>
          </w:tcPr>
          <w:p w14:paraId="129DCB2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0.0017</w:t>
            </w:r>
          </w:p>
        </w:tc>
        <w:tc>
          <w:tcPr>
            <w:tcW w:w="1695" w:type="dxa"/>
            <w:tcBorders>
              <w:top w:val="single" w:sz="4" w:space="0" w:color="auto"/>
              <w:left w:val="nil"/>
              <w:bottom w:val="single" w:sz="4" w:space="0" w:color="auto"/>
              <w:right w:val="nil"/>
            </w:tcBorders>
            <w:hideMark/>
          </w:tcPr>
          <w:p w14:paraId="4A88321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0.0974</w:t>
            </w:r>
          </w:p>
        </w:tc>
        <w:tc>
          <w:tcPr>
            <w:tcW w:w="1229" w:type="dxa"/>
            <w:tcBorders>
              <w:top w:val="single" w:sz="4" w:space="0" w:color="auto"/>
              <w:left w:val="nil"/>
              <w:bottom w:val="single" w:sz="4" w:space="0" w:color="auto"/>
              <w:right w:val="nil"/>
            </w:tcBorders>
            <w:hideMark/>
          </w:tcPr>
          <w:p w14:paraId="65F6BE2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0.1489</w:t>
            </w:r>
          </w:p>
        </w:tc>
        <w:tc>
          <w:tcPr>
            <w:tcW w:w="1934" w:type="dxa"/>
            <w:tcBorders>
              <w:top w:val="single" w:sz="4" w:space="0" w:color="auto"/>
              <w:left w:val="nil"/>
              <w:bottom w:val="single" w:sz="4" w:space="0" w:color="auto"/>
              <w:right w:val="nil"/>
            </w:tcBorders>
            <w:hideMark/>
          </w:tcPr>
          <w:p w14:paraId="45E8B1AF"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Poor performance</w:t>
            </w:r>
          </w:p>
        </w:tc>
      </w:tr>
      <w:tr w:rsidR="009335B6" w:rsidRPr="009335B6" w14:paraId="27A94D75" w14:textId="77777777">
        <w:trPr>
          <w:trHeight w:val="785"/>
        </w:trPr>
        <w:tc>
          <w:tcPr>
            <w:tcW w:w="1814" w:type="dxa"/>
            <w:tcBorders>
              <w:top w:val="single" w:sz="4" w:space="0" w:color="auto"/>
              <w:left w:val="nil"/>
              <w:bottom w:val="single" w:sz="4" w:space="0" w:color="auto"/>
              <w:right w:val="nil"/>
            </w:tcBorders>
            <w:hideMark/>
          </w:tcPr>
          <w:p w14:paraId="01B75D3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Standards – Square root</w:t>
            </w:r>
          </w:p>
        </w:tc>
        <w:tc>
          <w:tcPr>
            <w:tcW w:w="721" w:type="dxa"/>
            <w:tcBorders>
              <w:top w:val="single" w:sz="4" w:space="0" w:color="auto"/>
              <w:left w:val="nil"/>
              <w:bottom w:val="single" w:sz="4" w:space="0" w:color="auto"/>
              <w:right w:val="nil"/>
            </w:tcBorders>
            <w:hideMark/>
          </w:tcPr>
          <w:p w14:paraId="72808DC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30</w:t>
            </w:r>
          </w:p>
        </w:tc>
        <w:tc>
          <w:tcPr>
            <w:tcW w:w="974" w:type="dxa"/>
            <w:tcBorders>
              <w:top w:val="single" w:sz="4" w:space="0" w:color="auto"/>
              <w:left w:val="nil"/>
              <w:bottom w:val="single" w:sz="4" w:space="0" w:color="auto"/>
              <w:right w:val="nil"/>
            </w:tcBorders>
            <w:hideMark/>
          </w:tcPr>
          <w:p w14:paraId="48CAFF7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0.9374</w:t>
            </w:r>
          </w:p>
        </w:tc>
        <w:tc>
          <w:tcPr>
            <w:tcW w:w="1186" w:type="dxa"/>
            <w:tcBorders>
              <w:top w:val="single" w:sz="4" w:space="0" w:color="auto"/>
              <w:left w:val="nil"/>
              <w:bottom w:val="single" w:sz="4" w:space="0" w:color="auto"/>
              <w:right w:val="nil"/>
            </w:tcBorders>
            <w:hideMark/>
          </w:tcPr>
          <w:p w14:paraId="2EB7DE7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0.2049</w:t>
            </w:r>
          </w:p>
        </w:tc>
        <w:tc>
          <w:tcPr>
            <w:tcW w:w="1124" w:type="dxa"/>
            <w:tcBorders>
              <w:top w:val="single" w:sz="4" w:space="0" w:color="auto"/>
              <w:left w:val="nil"/>
              <w:bottom w:val="single" w:sz="4" w:space="0" w:color="auto"/>
              <w:right w:val="nil"/>
            </w:tcBorders>
            <w:hideMark/>
          </w:tcPr>
          <w:p w14:paraId="5EDF1BD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0.2024</w:t>
            </w:r>
          </w:p>
        </w:tc>
        <w:tc>
          <w:tcPr>
            <w:tcW w:w="1516" w:type="dxa"/>
            <w:tcBorders>
              <w:top w:val="single" w:sz="4" w:space="0" w:color="auto"/>
              <w:left w:val="nil"/>
              <w:bottom w:val="single" w:sz="4" w:space="0" w:color="auto"/>
              <w:right w:val="nil"/>
            </w:tcBorders>
            <w:hideMark/>
          </w:tcPr>
          <w:p w14:paraId="303C6E1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0.0033</w:t>
            </w:r>
          </w:p>
        </w:tc>
        <w:tc>
          <w:tcPr>
            <w:tcW w:w="1695" w:type="dxa"/>
            <w:tcBorders>
              <w:top w:val="single" w:sz="4" w:space="0" w:color="auto"/>
              <w:left w:val="nil"/>
              <w:bottom w:val="single" w:sz="4" w:space="0" w:color="auto"/>
              <w:right w:val="nil"/>
            </w:tcBorders>
            <w:hideMark/>
          </w:tcPr>
          <w:p w14:paraId="195901F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0.4406</w:t>
            </w:r>
          </w:p>
        </w:tc>
        <w:tc>
          <w:tcPr>
            <w:tcW w:w="1229" w:type="dxa"/>
            <w:tcBorders>
              <w:top w:val="single" w:sz="4" w:space="0" w:color="auto"/>
              <w:left w:val="nil"/>
              <w:bottom w:val="single" w:sz="4" w:space="0" w:color="auto"/>
              <w:right w:val="nil"/>
            </w:tcBorders>
            <w:hideMark/>
          </w:tcPr>
          <w:p w14:paraId="06AC1EE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0.1533</w:t>
            </w:r>
          </w:p>
        </w:tc>
        <w:tc>
          <w:tcPr>
            <w:tcW w:w="1934" w:type="dxa"/>
            <w:tcBorders>
              <w:top w:val="single" w:sz="4" w:space="0" w:color="auto"/>
              <w:left w:val="nil"/>
              <w:bottom w:val="single" w:sz="4" w:space="0" w:color="auto"/>
              <w:right w:val="nil"/>
            </w:tcBorders>
            <w:hideMark/>
          </w:tcPr>
          <w:p w14:paraId="1429EE5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Acceptable but inferior</w:t>
            </w:r>
          </w:p>
        </w:tc>
      </w:tr>
      <w:tr w:rsidR="009335B6" w:rsidRPr="009335B6" w14:paraId="49977300" w14:textId="77777777">
        <w:trPr>
          <w:trHeight w:val="1070"/>
        </w:trPr>
        <w:tc>
          <w:tcPr>
            <w:tcW w:w="1814" w:type="dxa"/>
            <w:tcBorders>
              <w:top w:val="single" w:sz="4" w:space="0" w:color="auto"/>
              <w:left w:val="nil"/>
              <w:bottom w:val="single" w:sz="4" w:space="0" w:color="auto"/>
              <w:right w:val="nil"/>
            </w:tcBorders>
            <w:hideMark/>
          </w:tcPr>
          <w:p w14:paraId="250D50C8"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Standards – Polynomial (deg 2)</w:t>
            </w:r>
          </w:p>
        </w:tc>
        <w:tc>
          <w:tcPr>
            <w:tcW w:w="721" w:type="dxa"/>
            <w:tcBorders>
              <w:top w:val="single" w:sz="4" w:space="0" w:color="auto"/>
              <w:left w:val="nil"/>
              <w:bottom w:val="single" w:sz="4" w:space="0" w:color="auto"/>
              <w:right w:val="nil"/>
            </w:tcBorders>
            <w:hideMark/>
          </w:tcPr>
          <w:p w14:paraId="0AE0C2E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30</w:t>
            </w:r>
          </w:p>
        </w:tc>
        <w:tc>
          <w:tcPr>
            <w:tcW w:w="974" w:type="dxa"/>
            <w:tcBorders>
              <w:top w:val="single" w:sz="4" w:space="0" w:color="auto"/>
              <w:left w:val="nil"/>
              <w:bottom w:val="single" w:sz="4" w:space="0" w:color="auto"/>
              <w:right w:val="nil"/>
            </w:tcBorders>
            <w:hideMark/>
          </w:tcPr>
          <w:p w14:paraId="6BA0EA6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0.9726</w:t>
            </w:r>
          </w:p>
        </w:tc>
        <w:tc>
          <w:tcPr>
            <w:tcW w:w="1186" w:type="dxa"/>
            <w:tcBorders>
              <w:top w:val="single" w:sz="4" w:space="0" w:color="auto"/>
              <w:left w:val="nil"/>
              <w:bottom w:val="single" w:sz="4" w:space="0" w:color="auto"/>
              <w:right w:val="nil"/>
            </w:tcBorders>
            <w:hideMark/>
          </w:tcPr>
          <w:p w14:paraId="174C97B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0.0100</w:t>
            </w:r>
          </w:p>
        </w:tc>
        <w:tc>
          <w:tcPr>
            <w:tcW w:w="1124" w:type="dxa"/>
            <w:tcBorders>
              <w:top w:val="single" w:sz="4" w:space="0" w:color="auto"/>
              <w:left w:val="nil"/>
              <w:bottom w:val="single" w:sz="4" w:space="0" w:color="auto"/>
              <w:right w:val="nil"/>
            </w:tcBorders>
            <w:hideMark/>
          </w:tcPr>
          <w:p w14:paraId="7065AA9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0.0084</w:t>
            </w:r>
          </w:p>
        </w:tc>
        <w:tc>
          <w:tcPr>
            <w:tcW w:w="1516" w:type="dxa"/>
            <w:tcBorders>
              <w:top w:val="single" w:sz="4" w:space="0" w:color="auto"/>
              <w:left w:val="nil"/>
              <w:bottom w:val="single" w:sz="4" w:space="0" w:color="auto"/>
              <w:right w:val="nil"/>
            </w:tcBorders>
            <w:hideMark/>
          </w:tcPr>
          <w:p w14:paraId="074E2B8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0.1014</w:t>
            </w:r>
          </w:p>
        </w:tc>
        <w:tc>
          <w:tcPr>
            <w:tcW w:w="1695" w:type="dxa"/>
            <w:tcBorders>
              <w:top w:val="single" w:sz="4" w:space="0" w:color="auto"/>
              <w:left w:val="nil"/>
              <w:bottom w:val="single" w:sz="4" w:space="0" w:color="auto"/>
              <w:right w:val="nil"/>
            </w:tcBorders>
            <w:hideMark/>
          </w:tcPr>
          <w:p w14:paraId="5CE9081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0.0212</w:t>
            </w:r>
          </w:p>
        </w:tc>
        <w:tc>
          <w:tcPr>
            <w:tcW w:w="1229" w:type="dxa"/>
            <w:tcBorders>
              <w:top w:val="single" w:sz="4" w:space="0" w:color="auto"/>
              <w:left w:val="nil"/>
              <w:bottom w:val="single" w:sz="4" w:space="0" w:color="auto"/>
              <w:right w:val="nil"/>
            </w:tcBorders>
            <w:hideMark/>
          </w:tcPr>
          <w:p w14:paraId="72E8A56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0.9049</w:t>
            </w:r>
          </w:p>
        </w:tc>
        <w:tc>
          <w:tcPr>
            <w:tcW w:w="1934" w:type="dxa"/>
            <w:tcBorders>
              <w:top w:val="single" w:sz="4" w:space="0" w:color="auto"/>
              <w:left w:val="nil"/>
              <w:bottom w:val="single" w:sz="4" w:space="0" w:color="auto"/>
              <w:right w:val="nil"/>
            </w:tcBorders>
            <w:hideMark/>
          </w:tcPr>
          <w:p w14:paraId="621E906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Marginal gain vs. simple</w:t>
            </w:r>
          </w:p>
        </w:tc>
      </w:tr>
      <w:tr w:rsidR="009335B6" w:rsidRPr="009335B6" w14:paraId="1D765702" w14:textId="77777777">
        <w:trPr>
          <w:trHeight w:val="785"/>
        </w:trPr>
        <w:tc>
          <w:tcPr>
            <w:tcW w:w="1814" w:type="dxa"/>
            <w:tcBorders>
              <w:top w:val="single" w:sz="4" w:space="0" w:color="auto"/>
              <w:left w:val="nil"/>
              <w:bottom w:val="single" w:sz="4" w:space="0" w:color="auto"/>
              <w:right w:val="nil"/>
            </w:tcBorders>
            <w:hideMark/>
          </w:tcPr>
          <w:p w14:paraId="522392D4"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Rivers – Simple linear</w:t>
            </w:r>
          </w:p>
        </w:tc>
        <w:tc>
          <w:tcPr>
            <w:tcW w:w="721" w:type="dxa"/>
            <w:tcBorders>
              <w:top w:val="single" w:sz="4" w:space="0" w:color="auto"/>
              <w:left w:val="nil"/>
              <w:bottom w:val="single" w:sz="4" w:space="0" w:color="auto"/>
              <w:right w:val="nil"/>
            </w:tcBorders>
            <w:hideMark/>
          </w:tcPr>
          <w:p w14:paraId="39C4A1F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296</w:t>
            </w:r>
          </w:p>
        </w:tc>
        <w:tc>
          <w:tcPr>
            <w:tcW w:w="974" w:type="dxa"/>
            <w:tcBorders>
              <w:top w:val="single" w:sz="4" w:space="0" w:color="auto"/>
              <w:left w:val="nil"/>
              <w:bottom w:val="single" w:sz="4" w:space="0" w:color="auto"/>
              <w:right w:val="nil"/>
            </w:tcBorders>
            <w:hideMark/>
          </w:tcPr>
          <w:p w14:paraId="4786372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0.9948</w:t>
            </w:r>
          </w:p>
        </w:tc>
        <w:tc>
          <w:tcPr>
            <w:tcW w:w="1186" w:type="dxa"/>
            <w:tcBorders>
              <w:top w:val="single" w:sz="4" w:space="0" w:color="auto"/>
              <w:left w:val="nil"/>
              <w:bottom w:val="single" w:sz="4" w:space="0" w:color="auto"/>
              <w:right w:val="nil"/>
            </w:tcBorders>
            <w:hideMark/>
          </w:tcPr>
          <w:p w14:paraId="02FDC1E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0.0181</w:t>
            </w:r>
          </w:p>
        </w:tc>
        <w:tc>
          <w:tcPr>
            <w:tcW w:w="1124" w:type="dxa"/>
            <w:tcBorders>
              <w:top w:val="single" w:sz="4" w:space="0" w:color="auto"/>
              <w:left w:val="nil"/>
              <w:bottom w:val="single" w:sz="4" w:space="0" w:color="auto"/>
              <w:right w:val="nil"/>
            </w:tcBorders>
            <w:hideMark/>
          </w:tcPr>
          <w:p w14:paraId="5C03CD3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0.0130</w:t>
            </w:r>
          </w:p>
        </w:tc>
        <w:tc>
          <w:tcPr>
            <w:tcW w:w="1516" w:type="dxa"/>
            <w:tcBorders>
              <w:top w:val="single" w:sz="4" w:space="0" w:color="auto"/>
              <w:left w:val="nil"/>
              <w:bottom w:val="single" w:sz="4" w:space="0" w:color="auto"/>
              <w:right w:val="nil"/>
            </w:tcBorders>
            <w:hideMark/>
          </w:tcPr>
          <w:p w14:paraId="18E4E08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695" w:type="dxa"/>
            <w:tcBorders>
              <w:top w:val="single" w:sz="4" w:space="0" w:color="auto"/>
              <w:left w:val="nil"/>
              <w:bottom w:val="single" w:sz="4" w:space="0" w:color="auto"/>
              <w:right w:val="nil"/>
            </w:tcBorders>
            <w:hideMark/>
          </w:tcPr>
          <w:p w14:paraId="1F87275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229" w:type="dxa"/>
            <w:tcBorders>
              <w:top w:val="single" w:sz="4" w:space="0" w:color="auto"/>
              <w:left w:val="nil"/>
              <w:bottom w:val="single" w:sz="4" w:space="0" w:color="auto"/>
              <w:right w:val="nil"/>
            </w:tcBorders>
            <w:hideMark/>
          </w:tcPr>
          <w:p w14:paraId="1EFDDFB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0.0640</w:t>
            </w:r>
          </w:p>
        </w:tc>
        <w:tc>
          <w:tcPr>
            <w:tcW w:w="1934" w:type="dxa"/>
            <w:tcBorders>
              <w:top w:val="single" w:sz="4" w:space="0" w:color="auto"/>
              <w:left w:val="nil"/>
              <w:bottom w:val="single" w:sz="4" w:space="0" w:color="auto"/>
              <w:right w:val="nil"/>
            </w:tcBorders>
            <w:hideMark/>
          </w:tcPr>
          <w:p w14:paraId="0C7C73E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Best overall model</w:t>
            </w:r>
          </w:p>
        </w:tc>
      </w:tr>
      <w:tr w:rsidR="009335B6" w:rsidRPr="009335B6" w14:paraId="7B8CA5ED" w14:textId="77777777">
        <w:trPr>
          <w:trHeight w:val="785"/>
        </w:trPr>
        <w:tc>
          <w:tcPr>
            <w:tcW w:w="1814" w:type="dxa"/>
            <w:tcBorders>
              <w:top w:val="single" w:sz="4" w:space="0" w:color="auto"/>
              <w:left w:val="nil"/>
              <w:bottom w:val="single" w:sz="4" w:space="0" w:color="auto"/>
              <w:right w:val="nil"/>
            </w:tcBorders>
            <w:hideMark/>
          </w:tcPr>
          <w:p w14:paraId="5FF49A2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Rivers – Logarithmic</w:t>
            </w:r>
          </w:p>
        </w:tc>
        <w:tc>
          <w:tcPr>
            <w:tcW w:w="721" w:type="dxa"/>
            <w:tcBorders>
              <w:top w:val="single" w:sz="4" w:space="0" w:color="auto"/>
              <w:left w:val="nil"/>
              <w:bottom w:val="single" w:sz="4" w:space="0" w:color="auto"/>
              <w:right w:val="nil"/>
            </w:tcBorders>
            <w:hideMark/>
          </w:tcPr>
          <w:p w14:paraId="45CAAD5F"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296</w:t>
            </w:r>
          </w:p>
        </w:tc>
        <w:tc>
          <w:tcPr>
            <w:tcW w:w="974" w:type="dxa"/>
            <w:tcBorders>
              <w:top w:val="single" w:sz="4" w:space="0" w:color="auto"/>
              <w:left w:val="nil"/>
              <w:bottom w:val="single" w:sz="4" w:space="0" w:color="auto"/>
              <w:right w:val="nil"/>
            </w:tcBorders>
            <w:hideMark/>
          </w:tcPr>
          <w:p w14:paraId="0B6A023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0.5488</w:t>
            </w:r>
          </w:p>
        </w:tc>
        <w:tc>
          <w:tcPr>
            <w:tcW w:w="1186" w:type="dxa"/>
            <w:tcBorders>
              <w:top w:val="single" w:sz="4" w:space="0" w:color="auto"/>
              <w:left w:val="nil"/>
              <w:bottom w:val="single" w:sz="4" w:space="0" w:color="auto"/>
              <w:right w:val="nil"/>
            </w:tcBorders>
            <w:hideMark/>
          </w:tcPr>
          <w:p w14:paraId="7CE480C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2.6308</w:t>
            </w:r>
          </w:p>
        </w:tc>
        <w:tc>
          <w:tcPr>
            <w:tcW w:w="1124" w:type="dxa"/>
            <w:tcBorders>
              <w:top w:val="single" w:sz="4" w:space="0" w:color="auto"/>
              <w:left w:val="nil"/>
              <w:bottom w:val="single" w:sz="4" w:space="0" w:color="auto"/>
              <w:right w:val="nil"/>
            </w:tcBorders>
            <w:hideMark/>
          </w:tcPr>
          <w:p w14:paraId="652D28F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2.6161</w:t>
            </w:r>
          </w:p>
        </w:tc>
        <w:tc>
          <w:tcPr>
            <w:tcW w:w="1516" w:type="dxa"/>
            <w:tcBorders>
              <w:top w:val="single" w:sz="4" w:space="0" w:color="auto"/>
              <w:left w:val="nil"/>
              <w:bottom w:val="single" w:sz="4" w:space="0" w:color="auto"/>
              <w:right w:val="nil"/>
            </w:tcBorders>
            <w:hideMark/>
          </w:tcPr>
          <w:p w14:paraId="108A2B8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695" w:type="dxa"/>
            <w:tcBorders>
              <w:top w:val="single" w:sz="4" w:space="0" w:color="auto"/>
              <w:left w:val="nil"/>
              <w:bottom w:val="single" w:sz="4" w:space="0" w:color="auto"/>
              <w:right w:val="nil"/>
            </w:tcBorders>
            <w:hideMark/>
          </w:tcPr>
          <w:p w14:paraId="1FB4CE0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229" w:type="dxa"/>
            <w:tcBorders>
              <w:top w:val="single" w:sz="4" w:space="0" w:color="auto"/>
              <w:left w:val="nil"/>
              <w:bottom w:val="single" w:sz="4" w:space="0" w:color="auto"/>
              <w:right w:val="nil"/>
            </w:tcBorders>
            <w:hideMark/>
          </w:tcPr>
          <w:p w14:paraId="7650E9A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0.0054</w:t>
            </w:r>
          </w:p>
        </w:tc>
        <w:tc>
          <w:tcPr>
            <w:tcW w:w="1934" w:type="dxa"/>
            <w:tcBorders>
              <w:top w:val="single" w:sz="4" w:space="0" w:color="auto"/>
              <w:left w:val="nil"/>
              <w:bottom w:val="single" w:sz="4" w:space="0" w:color="auto"/>
              <w:right w:val="nil"/>
            </w:tcBorders>
            <w:hideMark/>
          </w:tcPr>
          <w:p w14:paraId="191FFF2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Strongly rejected</w:t>
            </w:r>
          </w:p>
        </w:tc>
      </w:tr>
      <w:tr w:rsidR="009335B6" w:rsidRPr="009335B6" w14:paraId="7ED29BCA" w14:textId="77777777">
        <w:trPr>
          <w:trHeight w:val="785"/>
        </w:trPr>
        <w:tc>
          <w:tcPr>
            <w:tcW w:w="1814" w:type="dxa"/>
            <w:tcBorders>
              <w:top w:val="single" w:sz="4" w:space="0" w:color="auto"/>
              <w:left w:val="nil"/>
              <w:bottom w:val="single" w:sz="4" w:space="0" w:color="auto"/>
              <w:right w:val="nil"/>
            </w:tcBorders>
            <w:hideMark/>
          </w:tcPr>
          <w:p w14:paraId="5DC673B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Rivers – Square root</w:t>
            </w:r>
          </w:p>
        </w:tc>
        <w:tc>
          <w:tcPr>
            <w:tcW w:w="721" w:type="dxa"/>
            <w:tcBorders>
              <w:top w:val="single" w:sz="4" w:space="0" w:color="auto"/>
              <w:left w:val="nil"/>
              <w:bottom w:val="single" w:sz="4" w:space="0" w:color="auto"/>
              <w:right w:val="nil"/>
            </w:tcBorders>
            <w:hideMark/>
          </w:tcPr>
          <w:p w14:paraId="21527F8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296</w:t>
            </w:r>
          </w:p>
        </w:tc>
        <w:tc>
          <w:tcPr>
            <w:tcW w:w="974" w:type="dxa"/>
            <w:tcBorders>
              <w:top w:val="single" w:sz="4" w:space="0" w:color="auto"/>
              <w:left w:val="nil"/>
              <w:bottom w:val="single" w:sz="4" w:space="0" w:color="auto"/>
              <w:right w:val="nil"/>
            </w:tcBorders>
            <w:hideMark/>
          </w:tcPr>
          <w:p w14:paraId="74F28F5E"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0.8545</w:t>
            </w:r>
          </w:p>
        </w:tc>
        <w:tc>
          <w:tcPr>
            <w:tcW w:w="1186" w:type="dxa"/>
            <w:tcBorders>
              <w:top w:val="single" w:sz="4" w:space="0" w:color="auto"/>
              <w:left w:val="nil"/>
              <w:bottom w:val="single" w:sz="4" w:space="0" w:color="auto"/>
              <w:right w:val="nil"/>
            </w:tcBorders>
            <w:hideMark/>
          </w:tcPr>
          <w:p w14:paraId="1872EDA1"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0.1990</w:t>
            </w:r>
          </w:p>
        </w:tc>
        <w:tc>
          <w:tcPr>
            <w:tcW w:w="1124" w:type="dxa"/>
            <w:tcBorders>
              <w:top w:val="single" w:sz="4" w:space="0" w:color="auto"/>
              <w:left w:val="nil"/>
              <w:bottom w:val="single" w:sz="4" w:space="0" w:color="auto"/>
              <w:right w:val="nil"/>
            </w:tcBorders>
            <w:hideMark/>
          </w:tcPr>
          <w:p w14:paraId="0C13034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0.1945</w:t>
            </w:r>
          </w:p>
        </w:tc>
        <w:tc>
          <w:tcPr>
            <w:tcW w:w="1516" w:type="dxa"/>
            <w:tcBorders>
              <w:top w:val="single" w:sz="4" w:space="0" w:color="auto"/>
              <w:left w:val="nil"/>
              <w:bottom w:val="single" w:sz="4" w:space="0" w:color="auto"/>
              <w:right w:val="nil"/>
            </w:tcBorders>
            <w:hideMark/>
          </w:tcPr>
          <w:p w14:paraId="50722AD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695" w:type="dxa"/>
            <w:tcBorders>
              <w:top w:val="single" w:sz="4" w:space="0" w:color="auto"/>
              <w:left w:val="nil"/>
              <w:bottom w:val="single" w:sz="4" w:space="0" w:color="auto"/>
              <w:right w:val="nil"/>
            </w:tcBorders>
            <w:hideMark/>
          </w:tcPr>
          <w:p w14:paraId="46E3393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229" w:type="dxa"/>
            <w:tcBorders>
              <w:top w:val="single" w:sz="4" w:space="0" w:color="auto"/>
              <w:left w:val="nil"/>
              <w:bottom w:val="single" w:sz="4" w:space="0" w:color="auto"/>
              <w:right w:val="nil"/>
            </w:tcBorders>
            <w:hideMark/>
          </w:tcPr>
          <w:p w14:paraId="161730D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0.0788</w:t>
            </w:r>
          </w:p>
        </w:tc>
        <w:tc>
          <w:tcPr>
            <w:tcW w:w="1934" w:type="dxa"/>
            <w:tcBorders>
              <w:top w:val="single" w:sz="4" w:space="0" w:color="auto"/>
              <w:left w:val="nil"/>
              <w:bottom w:val="single" w:sz="4" w:space="0" w:color="auto"/>
              <w:right w:val="nil"/>
            </w:tcBorders>
            <w:hideMark/>
          </w:tcPr>
          <w:p w14:paraId="12B9D95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Not recommended</w:t>
            </w:r>
          </w:p>
        </w:tc>
      </w:tr>
      <w:tr w:rsidR="009335B6" w:rsidRPr="009335B6" w14:paraId="03B2A3CE" w14:textId="77777777">
        <w:trPr>
          <w:trHeight w:val="1625"/>
        </w:trPr>
        <w:tc>
          <w:tcPr>
            <w:tcW w:w="1814" w:type="dxa"/>
            <w:tcBorders>
              <w:top w:val="single" w:sz="4" w:space="0" w:color="auto"/>
              <w:left w:val="nil"/>
              <w:bottom w:val="single" w:sz="4" w:space="0" w:color="auto"/>
              <w:right w:val="nil"/>
            </w:tcBorders>
            <w:hideMark/>
          </w:tcPr>
          <w:p w14:paraId="70AF8A64"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lastRenderedPageBreak/>
              <w:t>Rivers – Polynomial (deg 2)</w:t>
            </w:r>
          </w:p>
        </w:tc>
        <w:tc>
          <w:tcPr>
            <w:tcW w:w="721" w:type="dxa"/>
            <w:tcBorders>
              <w:top w:val="single" w:sz="4" w:space="0" w:color="auto"/>
              <w:left w:val="nil"/>
              <w:bottom w:val="single" w:sz="4" w:space="0" w:color="auto"/>
              <w:right w:val="nil"/>
            </w:tcBorders>
            <w:hideMark/>
          </w:tcPr>
          <w:p w14:paraId="195D21D4"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296</w:t>
            </w:r>
          </w:p>
        </w:tc>
        <w:tc>
          <w:tcPr>
            <w:tcW w:w="974" w:type="dxa"/>
            <w:tcBorders>
              <w:top w:val="single" w:sz="4" w:space="0" w:color="auto"/>
              <w:left w:val="nil"/>
              <w:bottom w:val="single" w:sz="4" w:space="0" w:color="auto"/>
              <w:right w:val="nil"/>
            </w:tcBorders>
            <w:hideMark/>
          </w:tcPr>
          <w:p w14:paraId="24E7937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0.9965</w:t>
            </w:r>
          </w:p>
        </w:tc>
        <w:tc>
          <w:tcPr>
            <w:tcW w:w="1186" w:type="dxa"/>
            <w:tcBorders>
              <w:top w:val="single" w:sz="4" w:space="0" w:color="auto"/>
              <w:left w:val="nil"/>
              <w:bottom w:val="single" w:sz="4" w:space="0" w:color="auto"/>
              <w:right w:val="nil"/>
            </w:tcBorders>
            <w:hideMark/>
          </w:tcPr>
          <w:p w14:paraId="631100B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0.0148</w:t>
            </w:r>
          </w:p>
        </w:tc>
        <w:tc>
          <w:tcPr>
            <w:tcW w:w="1124" w:type="dxa"/>
            <w:tcBorders>
              <w:top w:val="single" w:sz="4" w:space="0" w:color="auto"/>
              <w:left w:val="nil"/>
              <w:bottom w:val="single" w:sz="4" w:space="0" w:color="auto"/>
              <w:right w:val="nil"/>
            </w:tcBorders>
            <w:hideMark/>
          </w:tcPr>
          <w:p w14:paraId="1E55471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0.0116</w:t>
            </w:r>
          </w:p>
        </w:tc>
        <w:tc>
          <w:tcPr>
            <w:tcW w:w="1516" w:type="dxa"/>
            <w:tcBorders>
              <w:top w:val="single" w:sz="4" w:space="0" w:color="auto"/>
              <w:left w:val="nil"/>
              <w:bottom w:val="single" w:sz="4" w:space="0" w:color="auto"/>
              <w:right w:val="nil"/>
            </w:tcBorders>
            <w:hideMark/>
          </w:tcPr>
          <w:p w14:paraId="4894482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695" w:type="dxa"/>
            <w:tcBorders>
              <w:top w:val="single" w:sz="4" w:space="0" w:color="auto"/>
              <w:left w:val="nil"/>
              <w:bottom w:val="single" w:sz="4" w:space="0" w:color="auto"/>
              <w:right w:val="nil"/>
            </w:tcBorders>
            <w:hideMark/>
          </w:tcPr>
          <w:p w14:paraId="7BA1702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229" w:type="dxa"/>
            <w:tcBorders>
              <w:top w:val="single" w:sz="4" w:space="0" w:color="auto"/>
              <w:left w:val="nil"/>
              <w:bottom w:val="single" w:sz="4" w:space="0" w:color="auto"/>
              <w:right w:val="nil"/>
            </w:tcBorders>
            <w:hideMark/>
          </w:tcPr>
          <w:p w14:paraId="7B58CD3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0.1295</w:t>
            </w:r>
          </w:p>
        </w:tc>
        <w:tc>
          <w:tcPr>
            <w:tcW w:w="1934" w:type="dxa"/>
            <w:tcBorders>
              <w:top w:val="single" w:sz="4" w:space="0" w:color="auto"/>
              <w:left w:val="nil"/>
              <w:bottom w:val="single" w:sz="4" w:space="0" w:color="auto"/>
              <w:right w:val="nil"/>
            </w:tcBorders>
            <w:hideMark/>
          </w:tcPr>
          <w:p w14:paraId="18C61F7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Slight improvement but residuals violate assumptions</w:t>
            </w:r>
          </w:p>
        </w:tc>
      </w:tr>
      <w:tr w:rsidR="009335B6" w:rsidRPr="009335B6" w14:paraId="64EB1818" w14:textId="77777777">
        <w:trPr>
          <w:trHeight w:val="1070"/>
        </w:trPr>
        <w:tc>
          <w:tcPr>
            <w:tcW w:w="1814" w:type="dxa"/>
            <w:tcBorders>
              <w:top w:val="single" w:sz="4" w:space="0" w:color="auto"/>
              <w:left w:val="nil"/>
              <w:bottom w:val="single" w:sz="4" w:space="0" w:color="auto"/>
              <w:right w:val="nil"/>
            </w:tcBorders>
            <w:hideMark/>
          </w:tcPr>
          <w:p w14:paraId="7742BB72"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Rivers low (&lt;0.025) – Simple</w:t>
            </w:r>
          </w:p>
        </w:tc>
        <w:tc>
          <w:tcPr>
            <w:tcW w:w="721" w:type="dxa"/>
            <w:tcBorders>
              <w:top w:val="single" w:sz="4" w:space="0" w:color="auto"/>
              <w:left w:val="nil"/>
              <w:bottom w:val="single" w:sz="4" w:space="0" w:color="auto"/>
              <w:right w:val="nil"/>
            </w:tcBorders>
            <w:hideMark/>
          </w:tcPr>
          <w:p w14:paraId="561E0BA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29</w:t>
            </w:r>
          </w:p>
        </w:tc>
        <w:tc>
          <w:tcPr>
            <w:tcW w:w="974" w:type="dxa"/>
            <w:tcBorders>
              <w:top w:val="single" w:sz="4" w:space="0" w:color="auto"/>
              <w:left w:val="nil"/>
              <w:bottom w:val="single" w:sz="4" w:space="0" w:color="auto"/>
              <w:right w:val="nil"/>
            </w:tcBorders>
            <w:hideMark/>
          </w:tcPr>
          <w:p w14:paraId="59B226F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0.4551</w:t>
            </w:r>
          </w:p>
        </w:tc>
        <w:tc>
          <w:tcPr>
            <w:tcW w:w="1186" w:type="dxa"/>
            <w:tcBorders>
              <w:top w:val="single" w:sz="4" w:space="0" w:color="auto"/>
              <w:left w:val="nil"/>
              <w:bottom w:val="single" w:sz="4" w:space="0" w:color="auto"/>
              <w:right w:val="nil"/>
            </w:tcBorders>
            <w:hideMark/>
          </w:tcPr>
          <w:p w14:paraId="228E948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0.0000*</w:t>
            </w:r>
          </w:p>
        </w:tc>
        <w:tc>
          <w:tcPr>
            <w:tcW w:w="1124" w:type="dxa"/>
            <w:tcBorders>
              <w:top w:val="single" w:sz="4" w:space="0" w:color="auto"/>
              <w:left w:val="nil"/>
              <w:bottom w:val="single" w:sz="4" w:space="0" w:color="auto"/>
              <w:right w:val="nil"/>
            </w:tcBorders>
            <w:hideMark/>
          </w:tcPr>
          <w:p w14:paraId="52E49FA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0.0000*</w:t>
            </w:r>
          </w:p>
        </w:tc>
        <w:tc>
          <w:tcPr>
            <w:tcW w:w="1516" w:type="dxa"/>
            <w:tcBorders>
              <w:top w:val="single" w:sz="4" w:space="0" w:color="auto"/>
              <w:left w:val="nil"/>
              <w:bottom w:val="single" w:sz="4" w:space="0" w:color="auto"/>
              <w:right w:val="nil"/>
            </w:tcBorders>
            <w:hideMark/>
          </w:tcPr>
          <w:p w14:paraId="27CD0A9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695" w:type="dxa"/>
            <w:tcBorders>
              <w:top w:val="single" w:sz="4" w:space="0" w:color="auto"/>
              <w:left w:val="nil"/>
              <w:bottom w:val="single" w:sz="4" w:space="0" w:color="auto"/>
              <w:right w:val="nil"/>
            </w:tcBorders>
            <w:hideMark/>
          </w:tcPr>
          <w:p w14:paraId="001BABD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0.5469</w:t>
            </w:r>
          </w:p>
        </w:tc>
        <w:tc>
          <w:tcPr>
            <w:tcW w:w="1229" w:type="dxa"/>
            <w:tcBorders>
              <w:top w:val="single" w:sz="4" w:space="0" w:color="auto"/>
              <w:left w:val="nil"/>
              <w:bottom w:val="single" w:sz="4" w:space="0" w:color="auto"/>
              <w:right w:val="nil"/>
            </w:tcBorders>
            <w:hideMark/>
          </w:tcPr>
          <w:p w14:paraId="409CAD1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NA</w:t>
            </w:r>
          </w:p>
        </w:tc>
        <w:tc>
          <w:tcPr>
            <w:tcW w:w="1934" w:type="dxa"/>
            <w:tcBorders>
              <w:top w:val="single" w:sz="4" w:space="0" w:color="auto"/>
              <w:left w:val="nil"/>
              <w:bottom w:val="single" w:sz="4" w:space="0" w:color="auto"/>
              <w:right w:val="nil"/>
            </w:tcBorders>
            <w:hideMark/>
          </w:tcPr>
          <w:p w14:paraId="55A98F4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Constant REFL values (~0.040)</w:t>
            </w:r>
          </w:p>
        </w:tc>
      </w:tr>
      <w:tr w:rsidR="009335B6" w:rsidRPr="009335B6" w14:paraId="352F5402" w14:textId="77777777">
        <w:trPr>
          <w:trHeight w:val="785"/>
        </w:trPr>
        <w:tc>
          <w:tcPr>
            <w:tcW w:w="1814" w:type="dxa"/>
            <w:tcBorders>
              <w:top w:val="single" w:sz="4" w:space="0" w:color="auto"/>
              <w:left w:val="nil"/>
              <w:bottom w:val="single" w:sz="4" w:space="0" w:color="auto"/>
              <w:right w:val="nil"/>
            </w:tcBorders>
            <w:hideMark/>
          </w:tcPr>
          <w:p w14:paraId="2A08477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Rivers low – Logarithmic</w:t>
            </w:r>
          </w:p>
        </w:tc>
        <w:tc>
          <w:tcPr>
            <w:tcW w:w="721" w:type="dxa"/>
            <w:tcBorders>
              <w:top w:val="single" w:sz="4" w:space="0" w:color="auto"/>
              <w:left w:val="nil"/>
              <w:bottom w:val="single" w:sz="4" w:space="0" w:color="auto"/>
              <w:right w:val="nil"/>
            </w:tcBorders>
            <w:hideMark/>
          </w:tcPr>
          <w:p w14:paraId="1AAB0FB4"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29</w:t>
            </w:r>
          </w:p>
        </w:tc>
        <w:tc>
          <w:tcPr>
            <w:tcW w:w="974" w:type="dxa"/>
            <w:tcBorders>
              <w:top w:val="single" w:sz="4" w:space="0" w:color="auto"/>
              <w:left w:val="nil"/>
              <w:bottom w:val="single" w:sz="4" w:space="0" w:color="auto"/>
              <w:right w:val="nil"/>
            </w:tcBorders>
            <w:hideMark/>
          </w:tcPr>
          <w:p w14:paraId="2F8633F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0.4551</w:t>
            </w:r>
          </w:p>
        </w:tc>
        <w:tc>
          <w:tcPr>
            <w:tcW w:w="1186" w:type="dxa"/>
            <w:tcBorders>
              <w:top w:val="single" w:sz="4" w:space="0" w:color="auto"/>
              <w:left w:val="nil"/>
              <w:bottom w:val="single" w:sz="4" w:space="0" w:color="auto"/>
              <w:right w:val="nil"/>
            </w:tcBorders>
            <w:hideMark/>
          </w:tcPr>
          <w:p w14:paraId="4A83B6A9"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3.2589</w:t>
            </w:r>
          </w:p>
        </w:tc>
        <w:tc>
          <w:tcPr>
            <w:tcW w:w="1124" w:type="dxa"/>
            <w:tcBorders>
              <w:top w:val="single" w:sz="4" w:space="0" w:color="auto"/>
              <w:left w:val="nil"/>
              <w:bottom w:val="single" w:sz="4" w:space="0" w:color="auto"/>
              <w:right w:val="nil"/>
            </w:tcBorders>
            <w:hideMark/>
          </w:tcPr>
          <w:p w14:paraId="3A0352E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3.2589</w:t>
            </w:r>
          </w:p>
        </w:tc>
        <w:tc>
          <w:tcPr>
            <w:tcW w:w="1516" w:type="dxa"/>
            <w:tcBorders>
              <w:top w:val="single" w:sz="4" w:space="0" w:color="auto"/>
              <w:left w:val="nil"/>
              <w:bottom w:val="single" w:sz="4" w:space="0" w:color="auto"/>
              <w:right w:val="nil"/>
            </w:tcBorders>
            <w:hideMark/>
          </w:tcPr>
          <w:p w14:paraId="2C8F414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695" w:type="dxa"/>
            <w:tcBorders>
              <w:top w:val="single" w:sz="4" w:space="0" w:color="auto"/>
              <w:left w:val="nil"/>
              <w:bottom w:val="single" w:sz="4" w:space="0" w:color="auto"/>
              <w:right w:val="nil"/>
            </w:tcBorders>
            <w:hideMark/>
          </w:tcPr>
          <w:p w14:paraId="0EC81BD6"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0.5469</w:t>
            </w:r>
          </w:p>
        </w:tc>
        <w:tc>
          <w:tcPr>
            <w:tcW w:w="1229" w:type="dxa"/>
            <w:tcBorders>
              <w:top w:val="single" w:sz="4" w:space="0" w:color="auto"/>
              <w:left w:val="nil"/>
              <w:bottom w:val="single" w:sz="4" w:space="0" w:color="auto"/>
              <w:right w:val="nil"/>
            </w:tcBorders>
            <w:hideMark/>
          </w:tcPr>
          <w:p w14:paraId="2DE0887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NA</w:t>
            </w:r>
          </w:p>
        </w:tc>
        <w:tc>
          <w:tcPr>
            <w:tcW w:w="1934" w:type="dxa"/>
            <w:tcBorders>
              <w:top w:val="single" w:sz="4" w:space="0" w:color="auto"/>
              <w:left w:val="nil"/>
              <w:bottom w:val="single" w:sz="4" w:space="0" w:color="auto"/>
              <w:right w:val="nil"/>
            </w:tcBorders>
            <w:hideMark/>
          </w:tcPr>
          <w:p w14:paraId="19DFAE53"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Useless</w:t>
            </w:r>
          </w:p>
        </w:tc>
      </w:tr>
      <w:tr w:rsidR="009335B6" w:rsidRPr="009335B6" w14:paraId="07D4E701" w14:textId="77777777">
        <w:trPr>
          <w:trHeight w:val="785"/>
        </w:trPr>
        <w:tc>
          <w:tcPr>
            <w:tcW w:w="1814" w:type="dxa"/>
            <w:tcBorders>
              <w:top w:val="single" w:sz="4" w:space="0" w:color="auto"/>
              <w:left w:val="nil"/>
              <w:bottom w:val="single" w:sz="8" w:space="0" w:color="000000"/>
              <w:right w:val="nil"/>
            </w:tcBorders>
            <w:hideMark/>
          </w:tcPr>
          <w:p w14:paraId="73B6B0D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Rivers low – Square root</w:t>
            </w:r>
          </w:p>
        </w:tc>
        <w:tc>
          <w:tcPr>
            <w:tcW w:w="721" w:type="dxa"/>
            <w:tcBorders>
              <w:top w:val="single" w:sz="4" w:space="0" w:color="auto"/>
              <w:left w:val="nil"/>
              <w:bottom w:val="single" w:sz="8" w:space="0" w:color="000000"/>
              <w:right w:val="nil"/>
            </w:tcBorders>
            <w:hideMark/>
          </w:tcPr>
          <w:p w14:paraId="42ABC37C"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29</w:t>
            </w:r>
          </w:p>
        </w:tc>
        <w:tc>
          <w:tcPr>
            <w:tcW w:w="974" w:type="dxa"/>
            <w:tcBorders>
              <w:top w:val="single" w:sz="4" w:space="0" w:color="auto"/>
              <w:left w:val="nil"/>
              <w:bottom w:val="single" w:sz="8" w:space="0" w:color="000000"/>
              <w:right w:val="nil"/>
            </w:tcBorders>
            <w:hideMark/>
          </w:tcPr>
          <w:p w14:paraId="527744B0"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0.4924</w:t>
            </w:r>
          </w:p>
        </w:tc>
        <w:tc>
          <w:tcPr>
            <w:tcW w:w="1186" w:type="dxa"/>
            <w:tcBorders>
              <w:top w:val="single" w:sz="4" w:space="0" w:color="auto"/>
              <w:left w:val="nil"/>
              <w:bottom w:val="single" w:sz="8" w:space="0" w:color="000000"/>
              <w:right w:val="nil"/>
            </w:tcBorders>
            <w:hideMark/>
          </w:tcPr>
          <w:p w14:paraId="4492E935"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0.1600</w:t>
            </w:r>
          </w:p>
        </w:tc>
        <w:tc>
          <w:tcPr>
            <w:tcW w:w="1124" w:type="dxa"/>
            <w:tcBorders>
              <w:top w:val="single" w:sz="4" w:space="0" w:color="auto"/>
              <w:left w:val="nil"/>
              <w:bottom w:val="single" w:sz="8" w:space="0" w:color="000000"/>
              <w:right w:val="nil"/>
            </w:tcBorders>
            <w:hideMark/>
          </w:tcPr>
          <w:p w14:paraId="530964DA"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0.1600</w:t>
            </w:r>
          </w:p>
        </w:tc>
        <w:tc>
          <w:tcPr>
            <w:tcW w:w="1516" w:type="dxa"/>
            <w:tcBorders>
              <w:top w:val="single" w:sz="4" w:space="0" w:color="auto"/>
              <w:left w:val="nil"/>
              <w:bottom w:val="single" w:sz="8" w:space="0" w:color="000000"/>
              <w:right w:val="nil"/>
            </w:tcBorders>
            <w:hideMark/>
          </w:tcPr>
          <w:p w14:paraId="2A6EEDCB"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&lt;0.0001</w:t>
            </w:r>
          </w:p>
        </w:tc>
        <w:tc>
          <w:tcPr>
            <w:tcW w:w="1695" w:type="dxa"/>
            <w:tcBorders>
              <w:top w:val="single" w:sz="4" w:space="0" w:color="auto"/>
              <w:left w:val="nil"/>
              <w:bottom w:val="single" w:sz="8" w:space="0" w:color="000000"/>
              <w:right w:val="nil"/>
            </w:tcBorders>
            <w:hideMark/>
          </w:tcPr>
          <w:p w14:paraId="7CA53C1D"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0.5469</w:t>
            </w:r>
          </w:p>
        </w:tc>
        <w:tc>
          <w:tcPr>
            <w:tcW w:w="1229" w:type="dxa"/>
            <w:tcBorders>
              <w:top w:val="single" w:sz="4" w:space="0" w:color="auto"/>
              <w:left w:val="nil"/>
              <w:bottom w:val="single" w:sz="8" w:space="0" w:color="000000"/>
              <w:right w:val="nil"/>
            </w:tcBorders>
            <w:hideMark/>
          </w:tcPr>
          <w:p w14:paraId="6A002DA7"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NA</w:t>
            </w:r>
          </w:p>
        </w:tc>
        <w:tc>
          <w:tcPr>
            <w:tcW w:w="1934" w:type="dxa"/>
            <w:tcBorders>
              <w:top w:val="single" w:sz="4" w:space="0" w:color="auto"/>
              <w:left w:val="nil"/>
              <w:bottom w:val="single" w:sz="8" w:space="0" w:color="000000"/>
              <w:right w:val="nil"/>
            </w:tcBorders>
            <w:hideMark/>
          </w:tcPr>
          <w:p w14:paraId="23E44918" w14:textId="77777777" w:rsidR="009335B6" w:rsidRPr="009335B6" w:rsidRDefault="009335B6" w:rsidP="009335B6">
            <w:pPr>
              <w:rPr>
                <w:rFonts w:ascii="Times New Roman" w:hAnsi="Times New Roman" w:cs="Times New Roman"/>
                <w:sz w:val="24"/>
                <w:szCs w:val="24"/>
              </w:rPr>
            </w:pPr>
            <w:r w:rsidRPr="009335B6">
              <w:rPr>
                <w:rFonts w:ascii="Times New Roman" w:hAnsi="Times New Roman" w:cs="Times New Roman"/>
                <w:sz w:val="24"/>
                <w:szCs w:val="24"/>
              </w:rPr>
              <w:t>Still poor</w:t>
            </w:r>
          </w:p>
        </w:tc>
      </w:tr>
    </w:tbl>
    <w:p w14:paraId="0DAEB735" w14:textId="77777777" w:rsidR="009335B6" w:rsidRPr="009335B6" w:rsidRDefault="009335B6" w:rsidP="009335B6">
      <w:pPr>
        <w:rPr>
          <w:rFonts w:ascii="Times New Roman" w:hAnsi="Times New Roman" w:cs="Times New Roman"/>
          <w:b/>
          <w:bCs/>
          <w:sz w:val="24"/>
          <w:szCs w:val="24"/>
        </w:rPr>
      </w:pPr>
    </w:p>
    <w:p w14:paraId="467CFDA8" w14:textId="4BD9B5EE" w:rsidR="009335B6" w:rsidRPr="0081315B" w:rsidRDefault="009335B6" w:rsidP="009335B6">
      <w:pPr>
        <w:rPr>
          <w:rFonts w:ascii="Times New Roman" w:eastAsia="Times New Roman" w:hAnsi="Times New Roman" w:cs="Times New Roman"/>
          <w:sz w:val="24"/>
          <w:szCs w:val="24"/>
        </w:rPr>
      </w:pPr>
    </w:p>
    <w:sectPr w:rsidR="009335B6" w:rsidRPr="0081315B" w:rsidSect="009335B6">
      <w:pgSz w:w="15840" w:h="12240" w:orient="landscape" w:code="1"/>
      <w:pgMar w:top="1440" w:right="1440" w:bottom="1440" w:left="2073" w:header="0" w:footer="1440" w:gutter="0"/>
      <w:lnNumType w:countBy="1" w:restart="continuous"/>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0034B" w14:textId="77777777" w:rsidR="004D5EA3" w:rsidRDefault="004D5EA3">
      <w:pPr>
        <w:spacing w:after="0"/>
      </w:pPr>
      <w:r>
        <w:separator/>
      </w:r>
    </w:p>
  </w:endnote>
  <w:endnote w:type="continuationSeparator" w:id="0">
    <w:p w14:paraId="456F4298" w14:textId="77777777" w:rsidR="004D5EA3" w:rsidRDefault="004D5E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auto"/>
    <w:pitch w:val="default"/>
  </w:font>
  <w:font w:name="Cardo">
    <w:charset w:val="00"/>
    <w:family w:val="auto"/>
    <w:pitch w:val="default"/>
    <w:embedBold r:id="rId1" w:fontKey="{7AFD3F58-31B8-441E-9A6D-B5D432437B84}"/>
  </w:font>
  <w:font w:name="Caudex">
    <w:charset w:val="00"/>
    <w:family w:val="auto"/>
    <w:pitch w:val="default"/>
    <w:embedRegular r:id="rId2" w:fontKey="{FF31EF8C-B703-401E-A609-6C5F47733806}"/>
    <w:embedBold r:id="rId3" w:fontKey="{E37F0CBC-43AC-46C3-9EC3-E07871C6454C}"/>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embedRegular r:id="rId4" w:fontKey="{C4391378-77B1-449D-BD1B-8C3D309E5DD0}"/>
    <w:embedItalic r:id="rId5" w:fontKey="{87897050-8BD0-4846-BB4D-0CA0DC163EE1}"/>
  </w:font>
  <w:font w:name="Calibri">
    <w:panose1 w:val="020F0502020204030204"/>
    <w:charset w:val="00"/>
    <w:family w:val="swiss"/>
    <w:pitch w:val="variable"/>
    <w:sig w:usb0="E4002EFF" w:usb1="C200247B" w:usb2="00000009" w:usb3="00000000" w:csb0="000001FF" w:csb1="00000000"/>
    <w:embedRegular r:id="rId6" w:fontKey="{D4F55D09-9B8B-4F7A-B04F-C6512DA2685B}"/>
  </w:font>
  <w:font w:name="Cambria">
    <w:panose1 w:val="02040503050406030204"/>
    <w:charset w:val="00"/>
    <w:family w:val="roman"/>
    <w:pitch w:val="variable"/>
    <w:sig w:usb0="E00006FF" w:usb1="420024FF" w:usb2="02000000" w:usb3="00000000" w:csb0="0000019F" w:csb1="00000000"/>
    <w:embedRegular r:id="rId7" w:fontKey="{63D8781F-4A6B-4747-BCE8-FCFA88DAF6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DED56" w14:textId="77777777" w:rsidR="00027601"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4C1D8B">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EB9AD" w14:textId="77777777" w:rsidR="004D5EA3" w:rsidRDefault="004D5EA3">
      <w:pPr>
        <w:spacing w:after="0"/>
      </w:pPr>
      <w:r>
        <w:separator/>
      </w:r>
    </w:p>
  </w:footnote>
  <w:footnote w:type="continuationSeparator" w:id="0">
    <w:p w14:paraId="024C8F57" w14:textId="77777777" w:rsidR="004D5EA3" w:rsidRDefault="004D5EA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601"/>
    <w:rsid w:val="00013186"/>
    <w:rsid w:val="00027601"/>
    <w:rsid w:val="00134A73"/>
    <w:rsid w:val="004C1D8B"/>
    <w:rsid w:val="004D5EA3"/>
    <w:rsid w:val="00550CFA"/>
    <w:rsid w:val="0081315B"/>
    <w:rsid w:val="009335B6"/>
    <w:rsid w:val="00AF262C"/>
    <w:rsid w:val="00EF15E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BF735"/>
  <w15:docId w15:val="{C6E30398-A1F8-43E4-B187-77DE3341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s-UY"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pBdr>
        <w:top w:val="single" w:sz="6" w:space="2" w:color="000000"/>
      </w:pBdr>
      <w:jc w:val="center"/>
      <w:outlineLvl w:val="0"/>
    </w:pPr>
    <w:rPr>
      <w:sz w:val="44"/>
      <w:szCs w:val="44"/>
    </w:rPr>
  </w:style>
  <w:style w:type="paragraph" w:styleId="Ttulo2">
    <w:name w:val="heading 2"/>
    <w:basedOn w:val="Normal"/>
    <w:next w:val="Normal"/>
    <w:uiPriority w:val="9"/>
    <w:semiHidden/>
    <w:unhideWhenUsed/>
    <w:qFormat/>
    <w:pPr>
      <w:keepNext/>
      <w:keepLines/>
      <w:pBdr>
        <w:bottom w:val="single" w:sz="4" w:space="1" w:color="000000"/>
      </w:pBdr>
      <w:tabs>
        <w:tab w:val="left" w:pos="284"/>
      </w:tabs>
      <w:spacing w:before="240"/>
      <w:jc w:val="left"/>
      <w:outlineLvl w:val="1"/>
    </w:pPr>
    <w:rPr>
      <w:b/>
      <w:bCs/>
      <w:sz w:val="22"/>
      <w:szCs w:val="22"/>
    </w:rPr>
  </w:style>
  <w:style w:type="paragraph" w:styleId="Ttulo3">
    <w:name w:val="heading 3"/>
    <w:basedOn w:val="Normal"/>
    <w:next w:val="Normal"/>
    <w:uiPriority w:val="9"/>
    <w:semiHidden/>
    <w:unhideWhenUsed/>
    <w:qFormat/>
    <w:pPr>
      <w:keepNext/>
      <w:keepLines/>
      <w:pBdr>
        <w:bottom w:val="single" w:sz="4" w:space="1" w:color="000000"/>
      </w:pBdr>
      <w:tabs>
        <w:tab w:val="left" w:pos="426"/>
      </w:tabs>
      <w:spacing w:before="240"/>
      <w:jc w:val="left"/>
      <w:outlineLvl w:val="2"/>
    </w:pPr>
  </w:style>
  <w:style w:type="paragraph" w:styleId="Ttulo4">
    <w:name w:val="heading 4"/>
    <w:basedOn w:val="Normal"/>
    <w:next w:val="Normal"/>
    <w:uiPriority w:val="9"/>
    <w:semiHidden/>
    <w:unhideWhenUsed/>
    <w:qFormat/>
    <w:pPr>
      <w:keepNext/>
      <w:tabs>
        <w:tab w:val="left" w:pos="0"/>
        <w:tab w:val="left" w:pos="567"/>
      </w:tabs>
      <w:spacing w:before="240"/>
      <w:outlineLvl w:val="3"/>
    </w:pPr>
    <w:rPr>
      <w:i/>
      <w:iCs/>
    </w:rPr>
  </w:style>
  <w:style w:type="paragraph" w:styleId="Ttulo5">
    <w:name w:val="heading 5"/>
    <w:basedOn w:val="Normal"/>
    <w:next w:val="Normal"/>
    <w:uiPriority w:val="9"/>
    <w:semiHidden/>
    <w:unhideWhenUsed/>
    <w:qFormat/>
    <w:pPr>
      <w:tabs>
        <w:tab w:val="left" w:pos="0"/>
      </w:tabs>
      <w:spacing w:before="240" w:after="60"/>
      <w:outlineLvl w:val="4"/>
    </w:pPr>
    <w:rPr>
      <w:b/>
      <w:bCs/>
      <w:i/>
      <w:iCs/>
      <w:sz w:val="26"/>
      <w:szCs w:val="26"/>
    </w:rPr>
  </w:style>
  <w:style w:type="paragraph" w:styleId="Ttulo6">
    <w:name w:val="heading 6"/>
    <w:basedOn w:val="Normal"/>
    <w:next w:val="Normal"/>
    <w:uiPriority w:val="9"/>
    <w:semiHidden/>
    <w:unhideWhenUsed/>
    <w:qFormat/>
    <w:pPr>
      <w:tabs>
        <w:tab w:val="left" w:pos="0"/>
      </w:tabs>
      <w:spacing w:before="240" w:after="60"/>
      <w:outlineLvl w:val="5"/>
    </w:pPr>
    <w:rPr>
      <w:rFonts w:ascii="Times New Roman" w:eastAsia="Times New Roman" w:hAnsi="Times New Roman" w:cs="Times New Roman"/>
      <w:b/>
      <w:bCs/>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spacing w:before="240"/>
      <w:jc w:val="center"/>
    </w:pPr>
    <w:rPr>
      <w:rFonts w:ascii="Liberation Sans" w:eastAsia="Liberation Sans" w:hAnsi="Liberation Sans" w:cs="Liberation Sans"/>
      <w:b/>
      <w:bCs/>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Pr>
  </w:style>
  <w:style w:type="paragraph" w:styleId="Subttulo">
    <w:name w:val="Subtitle"/>
    <w:basedOn w:val="Normal"/>
    <w:next w:val="Normal"/>
    <w:uiPriority w:val="11"/>
    <w:qFormat/>
    <w:pPr>
      <w:keepNext/>
      <w:spacing w:before="60"/>
      <w:jc w:val="center"/>
    </w:pPr>
    <w:rPr>
      <w:rFonts w:ascii="Liberation Sans" w:eastAsia="Liberation Sans" w:hAnsi="Liberation Sans" w:cs="Liberation Sans"/>
      <w:sz w:val="36"/>
      <w:szCs w:val="36"/>
    </w:r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Pr>
  </w:style>
  <w:style w:type="character" w:styleId="Nmerodelnea">
    <w:name w:val="line number"/>
    <w:basedOn w:val="Fuentedeprrafopredeter"/>
    <w:uiPriority w:val="99"/>
    <w:semiHidden/>
    <w:unhideWhenUsed/>
    <w:rsid w:val="004C1D8B"/>
  </w:style>
  <w:style w:type="character" w:styleId="Hipervnculo">
    <w:name w:val="Hyperlink"/>
    <w:basedOn w:val="Fuentedeprrafopredeter"/>
    <w:uiPriority w:val="99"/>
    <w:unhideWhenUsed/>
    <w:rsid w:val="0081315B"/>
    <w:rPr>
      <w:color w:val="0000FF" w:themeColor="hyperlink"/>
      <w:u w:val="single"/>
    </w:rPr>
  </w:style>
  <w:style w:type="character" w:styleId="Mencinsinresolver">
    <w:name w:val="Unresolved Mention"/>
    <w:basedOn w:val="Fuentedeprrafopredeter"/>
    <w:uiPriority w:val="99"/>
    <w:semiHidden/>
    <w:unhideWhenUsed/>
    <w:rsid w:val="00813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gitlab.com/lcarrascol/reflectoquant_prs/snippets/6032465.git" TargetMode="External"/><Relationship Id="rId18" Type="http://schemas.openxmlformats.org/officeDocument/2006/relationships/hyperlink" Target="http://dx.doi.org/10.5935/1806-6690.20200020" TargetMode="External"/><Relationship Id="rId26" Type="http://schemas.openxmlformats.org/officeDocument/2006/relationships/hyperlink" Target="http://dx.doi.org/10.4319/lo.1999.44.6.1540" TargetMode="External"/><Relationship Id="rId39" Type="http://schemas.openxmlformats.org/officeDocument/2006/relationships/hyperlink" Target="http://dx.doi.org/10.1081/CSS-120025209" TargetMode="External"/><Relationship Id="rId21" Type="http://schemas.openxmlformats.org/officeDocument/2006/relationships/hyperlink" Target="http://dx.doi.org/10.1177/1178622117715446" TargetMode="External"/><Relationship Id="rId34" Type="http://schemas.openxmlformats.org/officeDocument/2006/relationships/hyperlink" Target="http://dx.doi.org/10.7860/njlm/2024/65536.2855" TargetMode="External"/><Relationship Id="rId42" Type="http://schemas.openxmlformats.org/officeDocument/2006/relationships/hyperlink" Target="http://dx.doi.org/" TargetMode="External"/><Relationship Id="rId47" Type="http://schemas.openxmlformats.org/officeDocument/2006/relationships/hyperlink" Target="http://dx.doi.org/10.1016/j.aca.2015.07.030" TargetMode="External"/><Relationship Id="rId50" Type="http://schemas.openxmlformats.org/officeDocument/2006/relationships/hyperlink" Target="https://hdl.handle.net/20.500.12008/8164" TargetMode="External"/><Relationship Id="rId55" Type="http://schemas.openxmlformats.org/officeDocument/2006/relationships/hyperlink" Target="https://doi.org/10.1373/clinchem.2007.094060" TargetMode="External"/><Relationship Id="rId63" Type="http://schemas.openxmlformats.org/officeDocument/2006/relationships/fontTable" Target="fontTable.xml"/><Relationship Id="rId7" Type="http://schemas.openxmlformats.org/officeDocument/2006/relationships/hyperlink" Target="https://orcid.org/0000-0002-2894-3700" TargetMode="External"/><Relationship Id="rId2" Type="http://schemas.openxmlformats.org/officeDocument/2006/relationships/styles" Target="styles.xml"/><Relationship Id="rId16" Type="http://schemas.openxmlformats.org/officeDocument/2006/relationships/hyperlink" Target="https://gitlab.com/lcarrascol/reflectoquant_prs/snippets/6032465.git" TargetMode="External"/><Relationship Id="rId29" Type="http://schemas.openxmlformats.org/officeDocument/2006/relationships/hyperlink" Target="http://dx.doi.org/10.3390/s22020447" TargetMode="External"/><Relationship Id="rId11" Type="http://schemas.openxmlformats.org/officeDocument/2006/relationships/hyperlink" Target="https://gitlab.com/lcarrascol/reflectoquant_prs/snippets/6032465.git" TargetMode="External"/><Relationship Id="rId24" Type="http://schemas.openxmlformats.org/officeDocument/2006/relationships/hyperlink" Target="http://dx.doi.org/10.1016/S0140-6736(86)90837-8" TargetMode="External"/><Relationship Id="rId32" Type="http://schemas.openxmlformats.org/officeDocument/2006/relationships/hyperlink" Target="https://www.eurachem.org/index.php/3-publications/guides/144-gdmv2014" TargetMode="External"/><Relationship Id="rId37" Type="http://schemas.openxmlformats.org/officeDocument/2006/relationships/hyperlink" Target="http://dx.doi.org/10.3390/su10072426" TargetMode="External"/><Relationship Id="rId40" Type="http://schemas.openxmlformats.org/officeDocument/2006/relationships/hyperlink" Target="https://www.ambiente.gub.uy/oan/documentos/DCA_Informe-evaluaci%C3%B3n-calidad-de-agua_Laguna-Mer%C3%ADn-2015-2019.pdf" TargetMode="External"/><Relationship Id="rId45" Type="http://schemas.openxmlformats.org/officeDocument/2006/relationships/hyperlink" Target="https://www.gub.uy/ministerio-ambiente/comunicacion/publicaciones/informe-calidad-ambiental-del-rio-negro-2009-2017" TargetMode="External"/><Relationship Id="rId53" Type="http://schemas.openxmlformats.org/officeDocument/2006/relationships/hyperlink" Target="https://www.wfduk.org/sites/default/files/Media/UKTAG%20Phosphorus%20Standards%20for%20Rivers_Final%20130906.PDF" TargetMode="External"/><Relationship Id="rId58" Type="http://schemas.openxmlformats.org/officeDocument/2006/relationships/hyperlink" Target="http://dx.doi.org/10.1016/j.talanta.2004.09.006"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ainfo.inia.uy/digital/bitstream/item/6057/1/fpta-60-online-2016.pdf" TargetMode="External"/><Relationship Id="rId14" Type="http://schemas.openxmlformats.org/officeDocument/2006/relationships/image" Target="media/image1.jpg"/><Relationship Id="rId22" Type="http://schemas.openxmlformats.org/officeDocument/2006/relationships/hyperlink" Target="http://dx.doi.org/10.1016/j.scitotenv.2020.143299" TargetMode="External"/><Relationship Id="rId27" Type="http://schemas.openxmlformats.org/officeDocument/2006/relationships/hyperlink" Target="http://dx.doi.org/10.1073/pnas.0806112105" TargetMode="External"/><Relationship Id="rId30" Type="http://schemas.openxmlformats.org/officeDocument/2006/relationships/hyperlink" Target="http://dx.doi.org/10.1093/clinchem/25.3.432" TargetMode="External"/><Relationship Id="rId35" Type="http://schemas.openxmlformats.org/officeDocument/2006/relationships/hyperlink" Target="http://dx.doi.org/10.1016/j.jwpe.2023.104201" TargetMode="External"/><Relationship Id="rId43" Type="http://schemas.openxmlformats.org/officeDocument/2006/relationships/hyperlink" Target="http://dx.doi.org/10.1016/S0003-2670(00)88444-5" TargetMode="External"/><Relationship Id="rId48" Type="http://schemas.openxmlformats.org/officeDocument/2006/relationships/hyperlink" Target="http://dx.doi.org/10.1023/A:1003845516746" TargetMode="External"/><Relationship Id="rId56" Type="http://schemas.openxmlformats.org/officeDocument/2006/relationships/hyperlink" Target="http://dx.doi.org/10.1111/j.1475-2743.2007.00116.x" TargetMode="External"/><Relationship Id="rId64" Type="http://schemas.openxmlformats.org/officeDocument/2006/relationships/theme" Target="theme/theme1.xml"/><Relationship Id="rId8" Type="http://schemas.openxmlformats.org/officeDocument/2006/relationships/hyperlink" Target="https://orcid.org/0000-0001-6718-8798" TargetMode="External"/><Relationship Id="rId51" Type="http://schemas.openxmlformats.org/officeDocument/2006/relationships/hyperlink" Target="http://dx.doi.org/10.1016/j.jes.2014.06.024" TargetMode="External"/><Relationship Id="rId3" Type="http://schemas.openxmlformats.org/officeDocument/2006/relationships/settings" Target="settings.xml"/><Relationship Id="rId12" Type="http://schemas.openxmlformats.org/officeDocument/2006/relationships/hyperlink" Target="https://gitlab.com/lcarrascol/reflectoquant_prs/-/releases/v1.0" TargetMode="External"/><Relationship Id="rId17" Type="http://schemas.openxmlformats.org/officeDocument/2006/relationships/hyperlink" Target="http://dx.doi.org/10.1021/acs.jchemed.3c01042" TargetMode="External"/><Relationship Id="rId25" Type="http://schemas.openxmlformats.org/officeDocument/2006/relationships/hyperlink" Target="https://www.eurachem.org/index.php/3-publications/guides/144-gdmv2014" TargetMode="External"/><Relationship Id="rId33" Type="http://schemas.openxmlformats.org/officeDocument/2006/relationships/hyperlink" Target="http://dx.doi.org/10.1007/s00216-013-7339-6" TargetMode="External"/><Relationship Id="rId38" Type="http://schemas.openxmlformats.org/officeDocument/2006/relationships/hyperlink" Target="http://dx.doi.org/10.1016/j.limno.2022.125966" TargetMode="External"/><Relationship Id="rId46" Type="http://schemas.openxmlformats.org/officeDocument/2006/relationships/hyperlink" Target="https://www.gub.uy/ministerio-ambiente/comunicacion/publicaciones/informe-calidad-ambiental-del-rio-negro-2009-2017" TargetMode="External"/><Relationship Id="rId59" Type="http://schemas.openxmlformats.org/officeDocument/2006/relationships/hyperlink" Target="http://dx.doi.org/10.1016/j.talanta.2015.06.002" TargetMode="External"/><Relationship Id="rId20" Type="http://schemas.openxmlformats.org/officeDocument/2006/relationships/hyperlink" Target="https://ojs.latu.org.uy/index.php/INNOTEC/article/view/426" TargetMode="External"/><Relationship Id="rId41" Type="http://schemas.openxmlformats.org/officeDocument/2006/relationships/hyperlink" Target="http://dx.doi.org/10.3390/molecules30051001" TargetMode="External"/><Relationship Id="rId54" Type="http://schemas.openxmlformats.org/officeDocument/2006/relationships/hyperlink" Target="http://dx.doi.org/10.1002/lom3.10287" TargetMode="External"/><Relationship Id="rId62" Type="http://schemas.openxmlformats.org/officeDocument/2006/relationships/hyperlink" Target="https://gitlab.com/lcarrascol/reflectoquant_prs/snippets/6032465.git"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2.jpg"/><Relationship Id="rId23" Type="http://schemas.openxmlformats.org/officeDocument/2006/relationships/hyperlink" Target="http://dx.doi.org/10.1016/j.ijnurstu.2009.10.001" TargetMode="External"/><Relationship Id="rId28" Type="http://schemas.openxmlformats.org/officeDocument/2006/relationships/hyperlink" Target="http://dx.doi.org/10.13140/RG.2.2.32768.10243/1" TargetMode="External"/><Relationship Id="rId36" Type="http://schemas.openxmlformats.org/officeDocument/2006/relationships/hyperlink" Target="http://dx.doi.org/10.1093/clinchem/39.3.424" TargetMode="External"/><Relationship Id="rId49" Type="http://schemas.openxmlformats.org/officeDocument/2006/relationships/hyperlink" Target="https://www.r-project.org/" TargetMode="External"/><Relationship Id="rId57" Type="http://schemas.openxmlformats.org/officeDocument/2006/relationships/hyperlink" Target="http://dx.doi.org/10.1016/j.aca.2016.02.047" TargetMode="External"/><Relationship Id="rId10" Type="http://schemas.openxmlformats.org/officeDocument/2006/relationships/hyperlink" Target="https://orcid.org/0000-0003-1358-2065" TargetMode="External"/><Relationship Id="rId31" Type="http://schemas.openxmlformats.org/officeDocument/2006/relationships/hyperlink" Target="http://dx.doi.org/10.23818/limn.22.07" TargetMode="External"/><Relationship Id="rId44" Type="http://schemas.openxmlformats.org/officeDocument/2006/relationships/hyperlink" Target="https://www.gub.uy/ministerio-ambiente/comunicacion/publicaciones/informe-estado-ambiental-lagunas-costeras-rocha-castillos-diciembre-2018" TargetMode="External"/><Relationship Id="rId52" Type="http://schemas.openxmlformats.org/officeDocument/2006/relationships/hyperlink" Target="https://doi.org/10.1093/clinchem/44.11.2340" TargetMode="External"/><Relationship Id="rId60" Type="http://schemas.openxmlformats.org/officeDocument/2006/relationships/hyperlink" Target="https://onlinelibrary.wiley.com/doi/10.1111/j.1752-1688.1994.tb03315.x" TargetMode="External"/><Relationship Id="rId4" Type="http://schemas.openxmlformats.org/officeDocument/2006/relationships/webSettings" Target="webSettings.xml"/><Relationship Id="rId9" Type="http://schemas.openxmlformats.org/officeDocument/2006/relationships/hyperlink" Target="https://orcid.org/0000-0002-2116-109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VippYY+mZ0t6kcSTFqBJqbnoSg==">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6653</Words>
  <Characters>36594</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Leonidas Carrasco-Letelier</cp:lastModifiedBy>
  <cp:revision>4</cp:revision>
  <dcterms:created xsi:type="dcterms:W3CDTF">2026-08-19T14:25:00Z</dcterms:created>
  <dcterms:modified xsi:type="dcterms:W3CDTF">2026-08-19T14:36:00Z</dcterms:modified>
</cp:coreProperties>
</file>